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5FDA2" w14:textId="77777777" w:rsidR="006822E6" w:rsidRPr="00B51C7D" w:rsidRDefault="00B71F42" w:rsidP="004772CE">
      <w:pPr>
        <w:pStyle w:val="Title"/>
        <w:jc w:val="center"/>
        <w:rPr>
          <w:rFonts w:asciiTheme="majorBidi" w:hAnsiTheme="majorBidi"/>
        </w:rPr>
      </w:pPr>
      <w:r w:rsidRPr="00B51C7D">
        <w:rPr>
          <w:rFonts w:asciiTheme="majorBidi" w:hAnsiTheme="majorBidi"/>
        </w:rPr>
        <w:t>SHAHRZAD AZIMI</w:t>
      </w:r>
    </w:p>
    <w:p w14:paraId="31F0153B" w14:textId="77777777" w:rsidR="006822E6" w:rsidRPr="00B51C7D" w:rsidRDefault="743DBABA">
      <w:pPr>
        <w:spacing w:after="100"/>
        <w:jc w:val="center"/>
        <w:rPr>
          <w:rFonts w:asciiTheme="majorBidi" w:hAnsiTheme="majorBidi" w:cstheme="majorBidi"/>
        </w:rPr>
      </w:pPr>
      <w:r w:rsidRPr="00B51C7D">
        <w:rPr>
          <w:rFonts w:asciiTheme="majorBidi" w:hAnsiTheme="majorBidi" w:cstheme="majorBidi"/>
          <w:color w:val="646464"/>
          <w:sz w:val="17"/>
          <w:szCs w:val="17"/>
        </w:rPr>
        <w:t xml:space="preserve">Richardson, TX </w:t>
      </w:r>
      <w:proofErr w:type="gramStart"/>
      <w:r w:rsidRPr="00B51C7D">
        <w:rPr>
          <w:rFonts w:asciiTheme="majorBidi" w:hAnsiTheme="majorBidi" w:cstheme="majorBidi"/>
          <w:color w:val="646464"/>
          <w:sz w:val="17"/>
          <w:szCs w:val="17"/>
        </w:rPr>
        <w:t>75080  |</w:t>
      </w:r>
      <w:proofErr w:type="gramEnd"/>
      <w:r w:rsidRPr="00B51C7D">
        <w:rPr>
          <w:rFonts w:asciiTheme="majorBidi" w:hAnsiTheme="majorBidi" w:cstheme="majorBidi"/>
          <w:color w:val="646464"/>
          <w:sz w:val="17"/>
          <w:szCs w:val="17"/>
        </w:rPr>
        <w:t xml:space="preserve">  (469) 569-</w:t>
      </w:r>
      <w:proofErr w:type="gramStart"/>
      <w:r w:rsidRPr="00B51C7D">
        <w:rPr>
          <w:rFonts w:asciiTheme="majorBidi" w:hAnsiTheme="majorBidi" w:cstheme="majorBidi"/>
          <w:color w:val="646464"/>
          <w:sz w:val="17"/>
          <w:szCs w:val="17"/>
        </w:rPr>
        <w:t>9543  |</w:t>
      </w:r>
      <w:proofErr w:type="gramEnd"/>
      <w:r w:rsidRPr="00B51C7D">
        <w:rPr>
          <w:rFonts w:asciiTheme="majorBidi" w:hAnsiTheme="majorBidi" w:cstheme="majorBidi"/>
          <w:color w:val="646464"/>
          <w:sz w:val="17"/>
          <w:szCs w:val="17"/>
        </w:rPr>
        <w:t xml:space="preserve">  shahrzad92@gmail.com</w:t>
      </w:r>
    </w:p>
    <w:p w14:paraId="180FBC29" w14:textId="7A670CFA" w:rsidR="00747D7D" w:rsidRPr="00B51C7D" w:rsidRDefault="00747D7D">
      <w:pPr>
        <w:spacing w:after="100"/>
        <w:rPr>
          <w:rFonts w:asciiTheme="majorBidi" w:hAnsiTheme="majorBidi" w:cstheme="majorBidi"/>
          <w:szCs w:val="18"/>
          <w:lang w:eastAsia="en-US"/>
        </w:rPr>
      </w:pPr>
      <w:r w:rsidRPr="00B51C7D">
        <w:rPr>
          <w:rFonts w:asciiTheme="majorBidi" w:hAnsiTheme="majorBidi" w:cstheme="majorBidi"/>
          <w:szCs w:val="18"/>
        </w:rPr>
        <w:t xml:space="preserve">Strategic operations leader with 10 years of experience designing operating frameworks, financial governance processes, and executive reporting systems across global organizations, nonprofit enterprises, and Big Four consulting environments. Known for creating repeatable processes and helping leaders </w:t>
      </w:r>
      <w:r w:rsidR="000B0BC0" w:rsidRPr="00B51C7D">
        <w:rPr>
          <w:rFonts w:asciiTheme="majorBidi" w:hAnsiTheme="majorBidi" w:cstheme="majorBidi"/>
        </w:rPr>
        <w:t>turn</w:t>
      </w:r>
      <w:r w:rsidRPr="00B51C7D">
        <w:rPr>
          <w:rFonts w:asciiTheme="majorBidi" w:hAnsiTheme="majorBidi" w:cstheme="majorBidi"/>
          <w:szCs w:val="18"/>
        </w:rPr>
        <w:t xml:space="preserve"> complex information into </w:t>
      </w:r>
      <w:r w:rsidR="000B0BC0" w:rsidRPr="00B51C7D">
        <w:rPr>
          <w:rFonts w:asciiTheme="majorBidi" w:hAnsiTheme="majorBidi" w:cstheme="majorBidi"/>
        </w:rPr>
        <w:t xml:space="preserve">clear, </w:t>
      </w:r>
      <w:r w:rsidRPr="00B51C7D">
        <w:rPr>
          <w:rFonts w:asciiTheme="majorBidi" w:hAnsiTheme="majorBidi" w:cstheme="majorBidi"/>
          <w:szCs w:val="18"/>
        </w:rPr>
        <w:t>actionable business decisions.</w:t>
      </w:r>
    </w:p>
    <w:p w14:paraId="66111683" w14:textId="77777777" w:rsidR="0094382C" w:rsidRPr="00B51C7D" w:rsidRDefault="0094382C" w:rsidP="0094382C">
      <w:pPr>
        <w:pStyle w:val="Heading1"/>
        <w:pBdr>
          <w:bottom w:val="single" w:sz="8" w:space="1" w:color="1F374E"/>
        </w:pBdr>
        <w:rPr>
          <w:rFonts w:asciiTheme="majorBidi" w:hAnsiTheme="majorBidi"/>
          <w:sz w:val="19"/>
          <w:szCs w:val="19"/>
        </w:rPr>
      </w:pPr>
      <w:r w:rsidRPr="00B51C7D">
        <w:rPr>
          <w:rFonts w:asciiTheme="majorBidi" w:hAnsiTheme="majorBidi"/>
          <w:sz w:val="19"/>
          <w:szCs w:val="19"/>
        </w:rPr>
        <w:t>CORE STRENGTHS</w:t>
      </w:r>
    </w:p>
    <w:p w14:paraId="3BAFE5D6" w14:textId="6C001A0F" w:rsidR="0094382C" w:rsidRPr="00B51C7D" w:rsidRDefault="0094382C" w:rsidP="0094382C">
      <w:pPr>
        <w:spacing w:after="80"/>
        <w:jc w:val="center"/>
        <w:rPr>
          <w:rFonts w:asciiTheme="majorBidi" w:hAnsiTheme="majorBidi" w:cstheme="majorBidi"/>
          <w:sz w:val="19"/>
          <w:szCs w:val="19"/>
        </w:rPr>
      </w:pPr>
      <w:r w:rsidRPr="00B51C7D">
        <w:rPr>
          <w:rFonts w:asciiTheme="majorBidi" w:hAnsiTheme="majorBidi" w:cstheme="majorBidi"/>
          <w:sz w:val="19"/>
          <w:szCs w:val="19"/>
        </w:rPr>
        <w:t xml:space="preserve">Strategic </w:t>
      </w:r>
      <w:proofErr w:type="gramStart"/>
      <w:r w:rsidRPr="00B51C7D">
        <w:rPr>
          <w:rFonts w:asciiTheme="majorBidi" w:hAnsiTheme="majorBidi" w:cstheme="majorBidi"/>
          <w:sz w:val="19"/>
          <w:szCs w:val="19"/>
        </w:rPr>
        <w:t>Operations  •</w:t>
      </w:r>
      <w:proofErr w:type="gramEnd"/>
      <w:r w:rsidRPr="00B51C7D">
        <w:rPr>
          <w:rFonts w:asciiTheme="majorBidi" w:hAnsiTheme="majorBidi" w:cstheme="majorBidi"/>
          <w:sz w:val="19"/>
          <w:szCs w:val="19"/>
        </w:rPr>
        <w:t xml:space="preserve">  Operating Model </w:t>
      </w:r>
      <w:proofErr w:type="gramStart"/>
      <w:r w:rsidRPr="00B51C7D">
        <w:rPr>
          <w:rFonts w:asciiTheme="majorBidi" w:hAnsiTheme="majorBidi" w:cstheme="majorBidi"/>
          <w:sz w:val="19"/>
          <w:szCs w:val="19"/>
        </w:rPr>
        <w:t>Design  •</w:t>
      </w:r>
      <w:proofErr w:type="gramEnd"/>
      <w:r w:rsidRPr="00B51C7D">
        <w:rPr>
          <w:rFonts w:asciiTheme="majorBidi" w:hAnsiTheme="majorBidi" w:cstheme="majorBidi"/>
          <w:sz w:val="19"/>
          <w:szCs w:val="19"/>
        </w:rPr>
        <w:t xml:space="preserve">  Financial </w:t>
      </w:r>
      <w:proofErr w:type="gramStart"/>
      <w:r w:rsidRPr="00B51C7D">
        <w:rPr>
          <w:rFonts w:asciiTheme="majorBidi" w:hAnsiTheme="majorBidi" w:cstheme="majorBidi"/>
          <w:sz w:val="19"/>
          <w:szCs w:val="19"/>
        </w:rPr>
        <w:t>Governance  •</w:t>
      </w:r>
      <w:proofErr w:type="gramEnd"/>
      <w:r w:rsidRPr="00B51C7D">
        <w:rPr>
          <w:rFonts w:asciiTheme="majorBidi" w:hAnsiTheme="majorBidi" w:cstheme="majorBidi"/>
          <w:sz w:val="19"/>
          <w:szCs w:val="19"/>
        </w:rPr>
        <w:t xml:space="preserve">  Executive Decision </w:t>
      </w:r>
      <w:proofErr w:type="gramStart"/>
      <w:r w:rsidRPr="00B51C7D">
        <w:rPr>
          <w:rFonts w:asciiTheme="majorBidi" w:hAnsiTheme="majorBidi" w:cstheme="majorBidi"/>
          <w:sz w:val="19"/>
          <w:szCs w:val="19"/>
        </w:rPr>
        <w:t>Support  •</w:t>
      </w:r>
      <w:proofErr w:type="gramEnd"/>
      <w:r w:rsidRPr="00B51C7D">
        <w:rPr>
          <w:rFonts w:asciiTheme="majorBidi" w:hAnsiTheme="majorBidi" w:cstheme="majorBidi"/>
          <w:sz w:val="19"/>
          <w:szCs w:val="19"/>
        </w:rPr>
        <w:t xml:space="preserve">  Cross-Functional </w:t>
      </w:r>
      <w:proofErr w:type="gramStart"/>
      <w:r w:rsidRPr="00B51C7D">
        <w:rPr>
          <w:rFonts w:asciiTheme="majorBidi" w:hAnsiTheme="majorBidi" w:cstheme="majorBidi"/>
          <w:sz w:val="19"/>
          <w:szCs w:val="19"/>
        </w:rPr>
        <w:t>Leadership  •</w:t>
      </w:r>
      <w:proofErr w:type="gramEnd"/>
      <w:r w:rsidRPr="00B51C7D">
        <w:rPr>
          <w:rFonts w:asciiTheme="majorBidi" w:hAnsiTheme="majorBidi" w:cstheme="majorBidi"/>
          <w:sz w:val="19"/>
          <w:szCs w:val="19"/>
        </w:rPr>
        <w:t xml:space="preserve">  Process </w:t>
      </w:r>
      <w:proofErr w:type="gramStart"/>
      <w:r w:rsidRPr="00B51C7D">
        <w:rPr>
          <w:rFonts w:asciiTheme="majorBidi" w:hAnsiTheme="majorBidi" w:cstheme="majorBidi"/>
          <w:sz w:val="19"/>
          <w:szCs w:val="19"/>
        </w:rPr>
        <w:t>Improvement  •</w:t>
      </w:r>
      <w:proofErr w:type="gramEnd"/>
      <w:r w:rsidRPr="00B51C7D">
        <w:rPr>
          <w:rFonts w:asciiTheme="majorBidi" w:hAnsiTheme="majorBidi" w:cstheme="majorBidi"/>
          <w:sz w:val="19"/>
          <w:szCs w:val="19"/>
        </w:rPr>
        <w:t xml:space="preserve">  Global Stakeholder </w:t>
      </w:r>
      <w:proofErr w:type="gramStart"/>
      <w:r w:rsidRPr="00B51C7D">
        <w:rPr>
          <w:rFonts w:asciiTheme="majorBidi" w:hAnsiTheme="majorBidi" w:cstheme="majorBidi"/>
          <w:sz w:val="19"/>
          <w:szCs w:val="19"/>
        </w:rPr>
        <w:t>Management  •</w:t>
      </w:r>
      <w:proofErr w:type="gramEnd"/>
      <w:r w:rsidRPr="00B51C7D">
        <w:rPr>
          <w:rFonts w:asciiTheme="majorBidi" w:hAnsiTheme="majorBidi" w:cstheme="majorBidi"/>
          <w:sz w:val="19"/>
          <w:szCs w:val="19"/>
        </w:rPr>
        <w:t xml:space="preserve">  Risk &amp; Compliance</w:t>
      </w:r>
    </w:p>
    <w:p w14:paraId="74852975" w14:textId="0E1AF82F" w:rsidR="006822E6" w:rsidRPr="00B51C7D" w:rsidRDefault="00B71F42">
      <w:pPr>
        <w:pStyle w:val="Heading1"/>
        <w:pBdr>
          <w:bottom w:val="single" w:sz="8" w:space="1" w:color="1F374E"/>
        </w:pBdr>
        <w:rPr>
          <w:rFonts w:asciiTheme="majorBidi" w:hAnsiTheme="majorBidi"/>
          <w:sz w:val="19"/>
          <w:szCs w:val="19"/>
        </w:rPr>
      </w:pPr>
      <w:r w:rsidRPr="00B51C7D">
        <w:rPr>
          <w:rFonts w:asciiTheme="majorBidi" w:hAnsiTheme="majorBidi"/>
          <w:sz w:val="19"/>
          <w:szCs w:val="19"/>
        </w:rPr>
        <w:t>EXPERIENCE</w:t>
      </w:r>
    </w:p>
    <w:tbl>
      <w:tblPr>
        <w:tblStyle w:val="TableGrid"/>
        <w:tblW w:w="104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gridCol w:w="2400"/>
      </w:tblGrid>
      <w:tr w:rsidR="00B22CA0" w:rsidRPr="00B51C7D" w14:paraId="78A26914" w14:textId="77777777" w:rsidTr="00D62C58">
        <w:tc>
          <w:tcPr>
            <w:tcW w:w="8080" w:type="dxa"/>
            <w:tcBorders>
              <w:top w:val="nil"/>
              <w:left w:val="nil"/>
              <w:bottom w:val="nil"/>
              <w:right w:val="nil"/>
            </w:tcBorders>
            <w:tcMar>
              <w:top w:w="0" w:type="dxa"/>
              <w:left w:w="0" w:type="dxa"/>
              <w:bottom w:w="0" w:type="dxa"/>
              <w:right w:w="0" w:type="dxa"/>
            </w:tcMar>
            <w:vAlign w:val="bottom"/>
            <w:hideMark/>
          </w:tcPr>
          <w:p w14:paraId="0F213257" w14:textId="47E55DCE" w:rsidR="00B22CA0" w:rsidRPr="00B51C7D" w:rsidRDefault="00B22CA0" w:rsidP="00B22CA0">
            <w:pPr>
              <w:spacing w:before="60"/>
              <w:rPr>
                <w:rFonts w:asciiTheme="majorBidi" w:hAnsiTheme="majorBidi" w:cstheme="majorBidi"/>
                <w:sz w:val="19"/>
                <w:szCs w:val="19"/>
                <w:lang w:eastAsia="en-US"/>
              </w:rPr>
            </w:pPr>
            <w:r w:rsidRPr="00B51C7D">
              <w:rPr>
                <w:rFonts w:asciiTheme="majorBidi" w:hAnsiTheme="majorBidi" w:cstheme="majorBidi"/>
                <w:b/>
                <w:bCs/>
                <w:i/>
                <w:iCs/>
                <w:sz w:val="19"/>
                <w:szCs w:val="19"/>
              </w:rPr>
              <w:t>Senior Program Manager</w:t>
            </w:r>
            <w:r w:rsidR="00D62C58" w:rsidRPr="00B51C7D">
              <w:rPr>
                <w:rFonts w:asciiTheme="majorBidi" w:hAnsiTheme="majorBidi" w:cstheme="majorBidi"/>
                <w:b/>
                <w:bCs/>
                <w:i/>
                <w:iCs/>
                <w:sz w:val="19"/>
                <w:szCs w:val="19"/>
              </w:rPr>
              <w:t xml:space="preserve"> (Contract)</w:t>
            </w:r>
            <w:r w:rsidRPr="00B51C7D">
              <w:rPr>
                <w:rFonts w:asciiTheme="majorBidi" w:hAnsiTheme="majorBidi" w:cstheme="majorBidi"/>
                <w:b/>
                <w:bCs/>
                <w:sz w:val="19"/>
                <w:szCs w:val="19"/>
              </w:rPr>
              <w:t>, Institute for Studies in Global Prosperity (ISGP), Haifa, Israel</w:t>
            </w:r>
          </w:p>
        </w:tc>
        <w:tc>
          <w:tcPr>
            <w:tcW w:w="2400" w:type="dxa"/>
            <w:tcBorders>
              <w:top w:val="nil"/>
              <w:left w:val="nil"/>
              <w:bottom w:val="nil"/>
              <w:right w:val="nil"/>
            </w:tcBorders>
            <w:tcMar>
              <w:top w:w="0" w:type="dxa"/>
              <w:left w:w="0" w:type="dxa"/>
              <w:bottom w:w="0" w:type="dxa"/>
              <w:right w:w="0" w:type="dxa"/>
            </w:tcMar>
            <w:vAlign w:val="bottom"/>
            <w:hideMark/>
          </w:tcPr>
          <w:p w14:paraId="0794F5B2" w14:textId="7B883266" w:rsidR="00B22CA0" w:rsidRPr="00B51C7D" w:rsidRDefault="00D62C58" w:rsidP="00D62C58">
            <w:pPr>
              <w:spacing w:before="60"/>
              <w:jc w:val="center"/>
              <w:rPr>
                <w:rFonts w:asciiTheme="majorBidi" w:hAnsiTheme="majorBidi" w:cstheme="majorBidi"/>
                <w:sz w:val="19"/>
                <w:szCs w:val="19"/>
              </w:rPr>
            </w:pPr>
            <w:r w:rsidRPr="00B51C7D">
              <w:rPr>
                <w:rFonts w:asciiTheme="majorBidi" w:hAnsiTheme="majorBidi" w:cstheme="majorBidi"/>
                <w:b/>
                <w:bCs/>
                <w:sz w:val="19"/>
                <w:szCs w:val="19"/>
              </w:rPr>
              <w:t xml:space="preserve">   </w:t>
            </w:r>
            <w:r w:rsidR="00B22CA0" w:rsidRPr="00B51C7D">
              <w:rPr>
                <w:rFonts w:asciiTheme="majorBidi" w:hAnsiTheme="majorBidi" w:cstheme="majorBidi"/>
                <w:b/>
                <w:bCs/>
                <w:sz w:val="19"/>
                <w:szCs w:val="19"/>
              </w:rPr>
              <w:t>May 2024 – Present</w:t>
            </w:r>
          </w:p>
        </w:tc>
      </w:tr>
    </w:tbl>
    <w:p w14:paraId="1B132D9A" w14:textId="5E69C10A" w:rsidR="00747D7D" w:rsidRPr="00B51C7D" w:rsidRDefault="00747D7D">
      <w:pPr>
        <w:spacing w:before="20" w:after="40"/>
        <w:rPr>
          <w:rFonts w:asciiTheme="majorBidi" w:hAnsiTheme="majorBidi" w:cstheme="majorBidi"/>
          <w:szCs w:val="18"/>
          <w:lang w:eastAsia="en-US"/>
        </w:rPr>
      </w:pPr>
      <w:r w:rsidRPr="00B51C7D">
        <w:rPr>
          <w:rFonts w:asciiTheme="majorBidi" w:hAnsiTheme="majorBidi" w:cstheme="majorBidi"/>
          <w:color w:val="505050"/>
          <w:szCs w:val="18"/>
        </w:rPr>
        <w:t xml:space="preserve">Lead strategy and operations for the Institute for Studies in Global Prosperity, an international education and research organization delivering university-level programs across 99 locations in 58 countries, integrating regional planning, </w:t>
      </w:r>
      <w:r w:rsidR="0065392A" w:rsidRPr="00B51C7D">
        <w:rPr>
          <w:rFonts w:asciiTheme="majorBidi" w:hAnsiTheme="majorBidi" w:cstheme="majorBidi"/>
          <w:color w:val="505050"/>
        </w:rPr>
        <w:t>leadership briefings</w:t>
      </w:r>
      <w:r w:rsidRPr="00B51C7D">
        <w:rPr>
          <w:rFonts w:asciiTheme="majorBidi" w:hAnsiTheme="majorBidi" w:cstheme="majorBidi"/>
          <w:color w:val="505050"/>
          <w:szCs w:val="18"/>
        </w:rPr>
        <w:t>, budgets, and multilingual delivery.</w:t>
      </w:r>
    </w:p>
    <w:p w14:paraId="2CA51863" w14:textId="453044B2" w:rsidR="00747D7D" w:rsidRPr="00B51C7D" w:rsidRDefault="00747D7D" w:rsidP="00726B43">
      <w:pPr>
        <w:pStyle w:val="ListBullet"/>
        <w:rPr>
          <w:rFonts w:asciiTheme="majorBidi" w:hAnsiTheme="majorBidi" w:cstheme="majorBidi"/>
          <w:szCs w:val="17"/>
          <w:lang w:eastAsia="en-US"/>
        </w:rPr>
      </w:pPr>
      <w:r w:rsidRPr="00B51C7D">
        <w:rPr>
          <w:rFonts w:asciiTheme="majorBidi" w:hAnsiTheme="majorBidi" w:cstheme="majorBidi"/>
          <w:szCs w:val="17"/>
        </w:rPr>
        <w:t xml:space="preserve">Built regional operating frameworks, </w:t>
      </w:r>
      <w:r w:rsidR="00726B43" w:rsidRPr="00B51C7D">
        <w:rPr>
          <w:rFonts w:asciiTheme="majorBidi" w:hAnsiTheme="majorBidi" w:cstheme="majorBidi"/>
          <w:szCs w:val="17"/>
        </w:rPr>
        <w:t>established consistent</w:t>
      </w:r>
      <w:r w:rsidRPr="00B51C7D">
        <w:rPr>
          <w:rFonts w:asciiTheme="majorBidi" w:hAnsiTheme="majorBidi" w:cstheme="majorBidi"/>
          <w:szCs w:val="17"/>
        </w:rPr>
        <w:t xml:space="preserve"> performance </w:t>
      </w:r>
      <w:r w:rsidR="00726B43" w:rsidRPr="00B51C7D">
        <w:rPr>
          <w:rFonts w:asciiTheme="majorBidi" w:hAnsiTheme="majorBidi" w:cstheme="majorBidi"/>
          <w:szCs w:val="17"/>
        </w:rPr>
        <w:t>metrics</w:t>
      </w:r>
      <w:r w:rsidRPr="00B51C7D">
        <w:rPr>
          <w:rFonts w:asciiTheme="majorBidi" w:hAnsiTheme="majorBidi" w:cstheme="majorBidi"/>
          <w:szCs w:val="17"/>
        </w:rPr>
        <w:t>, and aligned field priorities with institutional strategy, contributing to a 40% improvement in key program indicators across the global network.</w:t>
      </w:r>
    </w:p>
    <w:p w14:paraId="6B9B6401" w14:textId="77777777" w:rsidR="00D30BCD" w:rsidRPr="00B51C7D" w:rsidRDefault="00D30BCD" w:rsidP="00D30BCD">
      <w:pPr>
        <w:pStyle w:val="ListBullet"/>
        <w:rPr>
          <w:rFonts w:asciiTheme="majorBidi" w:hAnsiTheme="majorBidi" w:cstheme="majorBidi"/>
          <w:szCs w:val="17"/>
          <w:lang w:eastAsia="en-US"/>
        </w:rPr>
      </w:pPr>
      <w:r w:rsidRPr="00B51C7D">
        <w:rPr>
          <w:rFonts w:asciiTheme="majorBidi" w:hAnsiTheme="majorBidi" w:cstheme="majorBidi"/>
          <w:szCs w:val="17"/>
        </w:rPr>
        <w:t>Designed and institutionalized planning, reporting, and governance processes across a global network spanning 58 countries, enabling leadership to monitor performance, allocate resources, and make data-informed strategic decisions.</w:t>
      </w:r>
    </w:p>
    <w:p w14:paraId="07243C57" w14:textId="1722D763" w:rsidR="00747D7D" w:rsidRPr="00B51C7D" w:rsidRDefault="341139C7" w:rsidP="006C472B">
      <w:pPr>
        <w:pStyle w:val="ListBullet"/>
        <w:rPr>
          <w:rFonts w:asciiTheme="majorBidi" w:hAnsiTheme="majorBidi" w:cstheme="majorBidi"/>
          <w:szCs w:val="17"/>
          <w:lang w:eastAsia="en-US"/>
        </w:rPr>
      </w:pPr>
      <w:r w:rsidRPr="00B51C7D">
        <w:rPr>
          <w:rFonts w:asciiTheme="majorBidi" w:hAnsiTheme="majorBidi" w:cstheme="majorBidi"/>
        </w:rPr>
        <w:t>Streamlined</w:t>
      </w:r>
      <w:r w:rsidR="774C1B7E" w:rsidRPr="00B51C7D">
        <w:rPr>
          <w:rFonts w:asciiTheme="majorBidi" w:hAnsiTheme="majorBidi" w:cstheme="majorBidi"/>
        </w:rPr>
        <w:t xml:space="preserve"> reporting and budget-development workflows with </w:t>
      </w:r>
      <w:r w:rsidRPr="00B51C7D">
        <w:rPr>
          <w:rFonts w:asciiTheme="majorBidi" w:hAnsiTheme="majorBidi" w:cstheme="majorBidi"/>
        </w:rPr>
        <w:t>shared</w:t>
      </w:r>
      <w:r w:rsidR="774C1B7E" w:rsidRPr="00B51C7D">
        <w:rPr>
          <w:rFonts w:asciiTheme="majorBidi" w:hAnsiTheme="majorBidi" w:cstheme="majorBidi"/>
        </w:rPr>
        <w:t xml:space="preserve"> protocols and </w:t>
      </w:r>
      <w:r w:rsidRPr="00B51C7D">
        <w:rPr>
          <w:rFonts w:asciiTheme="majorBidi" w:hAnsiTheme="majorBidi" w:cstheme="majorBidi"/>
        </w:rPr>
        <w:t>built-in quality controls</w:t>
      </w:r>
      <w:r w:rsidR="774C1B7E" w:rsidRPr="00B51C7D">
        <w:rPr>
          <w:rFonts w:asciiTheme="majorBidi" w:hAnsiTheme="majorBidi" w:cstheme="majorBidi"/>
        </w:rPr>
        <w:t>, reducing reporting errors by 95% and increasing staff capacity for program delivery.</w:t>
      </w:r>
    </w:p>
    <w:p w14:paraId="17009291" w14:textId="1335B910" w:rsidR="4388DF0C" w:rsidRPr="00B51C7D" w:rsidRDefault="4388DF0C" w:rsidP="4388DF0C">
      <w:pPr>
        <w:pStyle w:val="ListBullet"/>
        <w:rPr>
          <w:rFonts w:asciiTheme="majorBidi" w:hAnsiTheme="majorBidi" w:cstheme="majorBidi"/>
        </w:rPr>
      </w:pPr>
      <w:r w:rsidRPr="00B51C7D">
        <w:rPr>
          <w:rFonts w:asciiTheme="majorBidi" w:eastAsia="Times New Roman" w:hAnsiTheme="majorBidi" w:cstheme="majorBidi"/>
        </w:rPr>
        <w:t xml:space="preserve">Managed the full contracting </w:t>
      </w:r>
      <w:proofErr w:type="gramStart"/>
      <w:r w:rsidRPr="00B51C7D">
        <w:rPr>
          <w:rFonts w:asciiTheme="majorBidi" w:eastAsia="Times New Roman" w:hAnsiTheme="majorBidi" w:cstheme="majorBidi"/>
        </w:rPr>
        <w:t>lifecycle</w:t>
      </w:r>
      <w:proofErr w:type="gramEnd"/>
      <w:r w:rsidRPr="00B51C7D">
        <w:rPr>
          <w:rFonts w:asciiTheme="majorBidi" w:eastAsia="Times New Roman" w:hAnsiTheme="majorBidi" w:cstheme="majorBidi"/>
        </w:rPr>
        <w:t xml:space="preserve"> for international consultants, including renewals, milestone tracking, and payment documentation, to keep operations running and compliant.</w:t>
      </w:r>
    </w:p>
    <w:p w14:paraId="0ED83B05" w14:textId="72F829F1" w:rsidR="4388DF0C" w:rsidRPr="00B51C7D" w:rsidRDefault="4388DF0C" w:rsidP="4388DF0C">
      <w:pPr>
        <w:pStyle w:val="ListBullet"/>
        <w:rPr>
          <w:rFonts w:asciiTheme="majorBidi" w:hAnsiTheme="majorBidi" w:cstheme="majorBidi"/>
        </w:rPr>
      </w:pPr>
      <w:r w:rsidRPr="00B51C7D">
        <w:rPr>
          <w:rFonts w:asciiTheme="majorBidi" w:eastAsia="Times New Roman" w:hAnsiTheme="majorBidi" w:cstheme="majorBidi"/>
        </w:rPr>
        <w:t>Ran multilingual delivery of program materials and reports across regions, setting translation and formatting standards so content stayed consistent across the global network.</w:t>
      </w:r>
    </w:p>
    <w:tbl>
      <w:tblPr>
        <w:tblStyle w:val="TableGrid"/>
        <w:tblW w:w="102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2400"/>
      </w:tblGrid>
      <w:tr w:rsidR="00B22CA0" w:rsidRPr="00B51C7D" w14:paraId="54C58499" w14:textId="77777777">
        <w:tc>
          <w:tcPr>
            <w:tcW w:w="7880" w:type="dxa"/>
            <w:tcBorders>
              <w:top w:val="nil"/>
              <w:left w:val="nil"/>
              <w:bottom w:val="nil"/>
              <w:right w:val="nil"/>
            </w:tcBorders>
            <w:tcMar>
              <w:top w:w="0" w:type="dxa"/>
              <w:left w:w="0" w:type="dxa"/>
              <w:bottom w:w="0" w:type="dxa"/>
              <w:right w:w="0" w:type="dxa"/>
            </w:tcMar>
            <w:vAlign w:val="bottom"/>
            <w:hideMark/>
          </w:tcPr>
          <w:p w14:paraId="16FF05F2" w14:textId="77777777" w:rsidR="00B22CA0" w:rsidRPr="00B51C7D" w:rsidRDefault="00B22CA0">
            <w:pPr>
              <w:spacing w:before="60"/>
              <w:rPr>
                <w:rFonts w:asciiTheme="majorBidi" w:hAnsiTheme="majorBidi" w:cstheme="majorBidi"/>
                <w:sz w:val="19"/>
                <w:szCs w:val="19"/>
                <w:lang w:eastAsia="en-US"/>
              </w:rPr>
            </w:pPr>
            <w:r w:rsidRPr="00B51C7D">
              <w:rPr>
                <w:rFonts w:asciiTheme="majorBidi" w:hAnsiTheme="majorBidi" w:cstheme="majorBidi"/>
                <w:b/>
                <w:bCs/>
                <w:i/>
                <w:iCs/>
                <w:sz w:val="19"/>
                <w:szCs w:val="19"/>
              </w:rPr>
              <w:t>Director of Reporting and Budgets</w:t>
            </w:r>
            <w:r w:rsidRPr="00B51C7D">
              <w:rPr>
                <w:rFonts w:asciiTheme="majorBidi" w:hAnsiTheme="majorBidi" w:cstheme="majorBidi"/>
                <w:b/>
                <w:bCs/>
                <w:sz w:val="19"/>
                <w:szCs w:val="19"/>
              </w:rPr>
              <w:t>, Community Council of Greater Dallas, Dallas, TX</w:t>
            </w:r>
          </w:p>
        </w:tc>
        <w:tc>
          <w:tcPr>
            <w:tcW w:w="2400" w:type="dxa"/>
            <w:tcBorders>
              <w:top w:val="nil"/>
              <w:left w:val="nil"/>
              <w:bottom w:val="nil"/>
              <w:right w:val="nil"/>
            </w:tcBorders>
            <w:tcMar>
              <w:top w:w="0" w:type="dxa"/>
              <w:left w:w="0" w:type="dxa"/>
              <w:bottom w:w="0" w:type="dxa"/>
              <w:right w:w="0" w:type="dxa"/>
            </w:tcMar>
            <w:vAlign w:val="bottom"/>
            <w:hideMark/>
          </w:tcPr>
          <w:p w14:paraId="5093E503" w14:textId="77777777" w:rsidR="00B22CA0" w:rsidRPr="00B51C7D" w:rsidRDefault="00B22CA0">
            <w:pPr>
              <w:spacing w:before="60"/>
              <w:jc w:val="right"/>
              <w:rPr>
                <w:rFonts w:asciiTheme="majorBidi" w:hAnsiTheme="majorBidi" w:cstheme="majorBidi"/>
                <w:sz w:val="19"/>
                <w:szCs w:val="19"/>
              </w:rPr>
            </w:pPr>
            <w:r w:rsidRPr="00B51C7D">
              <w:rPr>
                <w:rFonts w:asciiTheme="majorBidi" w:hAnsiTheme="majorBidi" w:cstheme="majorBidi"/>
                <w:b/>
                <w:bCs/>
                <w:sz w:val="19"/>
                <w:szCs w:val="19"/>
              </w:rPr>
              <w:t>Jul 2022 – Apr 2024</w:t>
            </w:r>
          </w:p>
        </w:tc>
      </w:tr>
    </w:tbl>
    <w:p w14:paraId="0706A37E" w14:textId="2D0475D2" w:rsidR="004772CE" w:rsidRPr="00B51C7D" w:rsidRDefault="00747D7D">
      <w:pPr>
        <w:spacing w:before="20" w:after="40"/>
        <w:rPr>
          <w:rFonts w:asciiTheme="majorBidi" w:hAnsiTheme="majorBidi" w:cstheme="majorBidi"/>
          <w:sz w:val="19"/>
          <w:szCs w:val="19"/>
        </w:rPr>
      </w:pPr>
      <w:r w:rsidRPr="00B51C7D">
        <w:rPr>
          <w:rFonts w:asciiTheme="majorBidi" w:hAnsiTheme="majorBidi" w:cstheme="majorBidi"/>
          <w:color w:val="505050"/>
          <w:szCs w:val="18"/>
        </w:rPr>
        <w:t xml:space="preserve">Directed budgeting, reporting, compliance, and planning for </w:t>
      </w:r>
      <w:r w:rsidR="00F41157" w:rsidRPr="00B51C7D">
        <w:rPr>
          <w:rFonts w:asciiTheme="majorBidi" w:hAnsiTheme="majorBidi" w:cstheme="majorBidi"/>
          <w:color w:val="505050"/>
        </w:rPr>
        <w:t xml:space="preserve">the Community Council of Greater Dallas, a </w:t>
      </w:r>
      <w:r w:rsidRPr="00B51C7D">
        <w:rPr>
          <w:rFonts w:asciiTheme="majorBidi" w:hAnsiTheme="majorBidi" w:cstheme="majorBidi"/>
          <w:color w:val="505050"/>
          <w:szCs w:val="18"/>
        </w:rPr>
        <w:t xml:space="preserve">social-services </w:t>
      </w:r>
      <w:r w:rsidR="00F41157" w:rsidRPr="00B51C7D">
        <w:rPr>
          <w:rFonts w:asciiTheme="majorBidi" w:hAnsiTheme="majorBidi" w:cstheme="majorBidi"/>
          <w:color w:val="505050"/>
        </w:rPr>
        <w:t xml:space="preserve">nonprofit that connects Dallas County residents to essential services and pathways to economic stability, managing a $20M+ </w:t>
      </w:r>
      <w:r w:rsidRPr="00B51C7D">
        <w:rPr>
          <w:rFonts w:asciiTheme="majorBidi" w:hAnsiTheme="majorBidi" w:cstheme="majorBidi"/>
          <w:color w:val="505050"/>
          <w:szCs w:val="18"/>
        </w:rPr>
        <w:t>portfolio across 44 grantors and 51 federal, state, and philanthropic funding streams.</w:t>
      </w:r>
    </w:p>
    <w:p w14:paraId="76ADCDD7" w14:textId="4325224E" w:rsidR="00747D7D" w:rsidRPr="00B51C7D" w:rsidRDefault="00747D7D" w:rsidP="00A94CAE">
      <w:pPr>
        <w:pStyle w:val="ListBullet"/>
        <w:rPr>
          <w:rFonts w:asciiTheme="majorBidi" w:hAnsiTheme="majorBidi" w:cstheme="majorBidi"/>
        </w:rPr>
      </w:pPr>
      <w:r w:rsidRPr="00B51C7D">
        <w:rPr>
          <w:rFonts w:asciiTheme="majorBidi" w:hAnsiTheme="majorBidi" w:cstheme="majorBidi"/>
        </w:rPr>
        <w:t xml:space="preserve">Stewarded </w:t>
      </w:r>
      <w:r w:rsidR="00A94CAE" w:rsidRPr="00B51C7D">
        <w:rPr>
          <w:rFonts w:asciiTheme="majorBidi" w:hAnsiTheme="majorBidi" w:cstheme="majorBidi"/>
        </w:rPr>
        <w:t>this funding base</w:t>
      </w:r>
      <w:r w:rsidRPr="00B51C7D">
        <w:rPr>
          <w:rFonts w:asciiTheme="majorBidi" w:hAnsiTheme="majorBidi" w:cstheme="majorBidi"/>
        </w:rPr>
        <w:t xml:space="preserve"> by aligning funding requirements, performance </w:t>
      </w:r>
      <w:r w:rsidR="00A94CAE" w:rsidRPr="00B51C7D">
        <w:rPr>
          <w:rFonts w:asciiTheme="majorBidi" w:hAnsiTheme="majorBidi" w:cstheme="majorBidi"/>
        </w:rPr>
        <w:t>targets</w:t>
      </w:r>
      <w:r w:rsidRPr="00B51C7D">
        <w:rPr>
          <w:rFonts w:asciiTheme="majorBidi" w:hAnsiTheme="majorBidi" w:cstheme="majorBidi"/>
        </w:rPr>
        <w:t xml:space="preserve">, and </w:t>
      </w:r>
      <w:r w:rsidR="00A94CAE" w:rsidRPr="00B51C7D">
        <w:rPr>
          <w:rFonts w:asciiTheme="majorBidi" w:hAnsiTheme="majorBidi" w:cstheme="majorBidi"/>
        </w:rPr>
        <w:t>spending priorities</w:t>
      </w:r>
      <w:r w:rsidRPr="00B51C7D">
        <w:rPr>
          <w:rFonts w:asciiTheme="majorBidi" w:hAnsiTheme="majorBidi" w:cstheme="majorBidi"/>
        </w:rPr>
        <w:t xml:space="preserve"> across 7 program directors and </w:t>
      </w:r>
      <w:r w:rsidR="00A94CAE" w:rsidRPr="00B51C7D">
        <w:rPr>
          <w:rFonts w:asciiTheme="majorBidi" w:hAnsiTheme="majorBidi" w:cstheme="majorBidi"/>
        </w:rPr>
        <w:t xml:space="preserve">the </w:t>
      </w:r>
      <w:r w:rsidRPr="00B51C7D">
        <w:rPr>
          <w:rFonts w:asciiTheme="majorBidi" w:hAnsiTheme="majorBidi" w:cstheme="majorBidi"/>
        </w:rPr>
        <w:t xml:space="preserve">executive </w:t>
      </w:r>
      <w:r w:rsidR="00A94CAE" w:rsidRPr="00B51C7D">
        <w:rPr>
          <w:rFonts w:asciiTheme="majorBidi" w:hAnsiTheme="majorBidi" w:cstheme="majorBidi"/>
        </w:rPr>
        <w:t>team</w:t>
      </w:r>
      <w:r w:rsidRPr="00B51C7D">
        <w:rPr>
          <w:rFonts w:asciiTheme="majorBidi" w:hAnsiTheme="majorBidi" w:cstheme="majorBidi"/>
        </w:rPr>
        <w:t>.</w:t>
      </w:r>
    </w:p>
    <w:p w14:paraId="34F736A9" w14:textId="244CC945" w:rsidR="00747D7D" w:rsidRPr="00B51C7D" w:rsidRDefault="00747D7D" w:rsidP="00F5193F">
      <w:pPr>
        <w:pStyle w:val="ListBullet"/>
        <w:rPr>
          <w:rFonts w:asciiTheme="majorBidi" w:hAnsiTheme="majorBidi" w:cstheme="majorBidi"/>
        </w:rPr>
      </w:pPr>
      <w:r w:rsidRPr="00B51C7D">
        <w:rPr>
          <w:rFonts w:asciiTheme="majorBidi" w:hAnsiTheme="majorBidi" w:cstheme="majorBidi"/>
        </w:rPr>
        <w:t xml:space="preserve">Designed financial-governance protocols, source-specific templates, and </w:t>
      </w:r>
      <w:r w:rsidR="00F5193F" w:rsidRPr="00B51C7D">
        <w:rPr>
          <w:rFonts w:asciiTheme="majorBidi" w:hAnsiTheme="majorBidi" w:cstheme="majorBidi"/>
        </w:rPr>
        <w:t xml:space="preserve">layered </w:t>
      </w:r>
      <w:r w:rsidRPr="00B51C7D">
        <w:rPr>
          <w:rFonts w:asciiTheme="majorBidi" w:hAnsiTheme="majorBidi" w:cstheme="majorBidi"/>
        </w:rPr>
        <w:t xml:space="preserve">review </w:t>
      </w:r>
      <w:r w:rsidR="00F5193F" w:rsidRPr="00B51C7D">
        <w:rPr>
          <w:rFonts w:asciiTheme="majorBidi" w:hAnsiTheme="majorBidi" w:cstheme="majorBidi"/>
        </w:rPr>
        <w:t>procedures</w:t>
      </w:r>
      <w:r w:rsidRPr="00B51C7D">
        <w:rPr>
          <w:rFonts w:asciiTheme="majorBidi" w:hAnsiTheme="majorBidi" w:cstheme="majorBidi"/>
        </w:rPr>
        <w:t xml:space="preserve"> that </w:t>
      </w:r>
      <w:r w:rsidR="00F5193F" w:rsidRPr="00B51C7D">
        <w:rPr>
          <w:rFonts w:asciiTheme="majorBidi" w:hAnsiTheme="majorBidi" w:cstheme="majorBidi"/>
        </w:rPr>
        <w:t>virtually eliminated</w:t>
      </w:r>
      <w:r w:rsidRPr="00B51C7D">
        <w:rPr>
          <w:rFonts w:asciiTheme="majorBidi" w:hAnsiTheme="majorBidi" w:cstheme="majorBidi"/>
        </w:rPr>
        <w:t xml:space="preserve"> reporting </w:t>
      </w:r>
      <w:r w:rsidR="00F5193F" w:rsidRPr="00B51C7D">
        <w:rPr>
          <w:rFonts w:asciiTheme="majorBidi" w:hAnsiTheme="majorBidi" w:cstheme="majorBidi"/>
        </w:rPr>
        <w:t>inaccuracies</w:t>
      </w:r>
      <w:r w:rsidRPr="00B51C7D">
        <w:rPr>
          <w:rFonts w:asciiTheme="majorBidi" w:hAnsiTheme="majorBidi" w:cstheme="majorBidi"/>
        </w:rPr>
        <w:t xml:space="preserve"> across </w:t>
      </w:r>
      <w:r w:rsidR="00F5193F" w:rsidRPr="00B51C7D">
        <w:rPr>
          <w:rFonts w:asciiTheme="majorBidi" w:hAnsiTheme="majorBidi" w:cstheme="majorBidi"/>
        </w:rPr>
        <w:t>all</w:t>
      </w:r>
      <w:r w:rsidRPr="00B51C7D">
        <w:rPr>
          <w:rFonts w:asciiTheme="majorBidi" w:hAnsiTheme="majorBidi" w:cstheme="majorBidi"/>
        </w:rPr>
        <w:t xml:space="preserve"> funding streams.</w:t>
      </w:r>
    </w:p>
    <w:p w14:paraId="420ADE8F" w14:textId="0ADB1D6C" w:rsidR="00747D7D" w:rsidRPr="00B51C7D" w:rsidRDefault="006543B7" w:rsidP="006543B7">
      <w:pPr>
        <w:pStyle w:val="ListBullet"/>
        <w:rPr>
          <w:rFonts w:asciiTheme="majorBidi" w:hAnsiTheme="majorBidi" w:cstheme="majorBidi"/>
        </w:rPr>
      </w:pPr>
      <w:proofErr w:type="gramStart"/>
      <w:r w:rsidRPr="00B51C7D">
        <w:rPr>
          <w:rFonts w:asciiTheme="majorBidi" w:hAnsiTheme="majorBidi" w:cstheme="majorBidi"/>
        </w:rPr>
        <w:t>Turned</w:t>
      </w:r>
      <w:proofErr w:type="gramEnd"/>
      <w:r w:rsidRPr="00B51C7D">
        <w:rPr>
          <w:rFonts w:asciiTheme="majorBidi" w:hAnsiTheme="majorBidi" w:cstheme="majorBidi"/>
        </w:rPr>
        <w:t xml:space="preserve"> detailed</w:t>
      </w:r>
      <w:r w:rsidR="00747D7D" w:rsidRPr="00B51C7D">
        <w:rPr>
          <w:rFonts w:asciiTheme="majorBidi" w:hAnsiTheme="majorBidi" w:cstheme="majorBidi"/>
        </w:rPr>
        <w:t xml:space="preserve"> grant and financial requirements into clear operating routines, </w:t>
      </w:r>
      <w:r w:rsidRPr="00B51C7D">
        <w:rPr>
          <w:rFonts w:asciiTheme="majorBidi" w:hAnsiTheme="majorBidi" w:cstheme="majorBidi"/>
        </w:rPr>
        <w:t>clarifying ownership</w:t>
      </w:r>
      <w:r w:rsidR="00747D7D" w:rsidRPr="00B51C7D">
        <w:rPr>
          <w:rFonts w:asciiTheme="majorBidi" w:hAnsiTheme="majorBidi" w:cstheme="majorBidi"/>
        </w:rPr>
        <w:t xml:space="preserve"> and enabling leaders to make faster, better-informed portfolio decisions.</w:t>
      </w:r>
    </w:p>
    <w:tbl>
      <w:tblPr>
        <w:tblStyle w:val="TableGrid"/>
        <w:tblW w:w="102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2400"/>
      </w:tblGrid>
      <w:tr w:rsidR="00B22CA0" w:rsidRPr="00B51C7D" w14:paraId="068DA9A2" w14:textId="77777777">
        <w:tc>
          <w:tcPr>
            <w:tcW w:w="7880" w:type="dxa"/>
            <w:tcBorders>
              <w:top w:val="nil"/>
              <w:left w:val="nil"/>
              <w:bottom w:val="nil"/>
              <w:right w:val="nil"/>
            </w:tcBorders>
            <w:tcMar>
              <w:top w:w="0" w:type="dxa"/>
              <w:left w:w="0" w:type="dxa"/>
              <w:bottom w:w="0" w:type="dxa"/>
              <w:right w:w="0" w:type="dxa"/>
            </w:tcMar>
            <w:vAlign w:val="bottom"/>
            <w:hideMark/>
          </w:tcPr>
          <w:p w14:paraId="4E27A757" w14:textId="77777777" w:rsidR="00B22CA0" w:rsidRPr="00B51C7D" w:rsidRDefault="00B22CA0">
            <w:pPr>
              <w:spacing w:before="60"/>
              <w:rPr>
                <w:rFonts w:asciiTheme="majorBidi" w:hAnsiTheme="majorBidi" w:cstheme="majorBidi"/>
                <w:sz w:val="19"/>
                <w:szCs w:val="19"/>
                <w:lang w:eastAsia="en-US"/>
              </w:rPr>
            </w:pPr>
            <w:r w:rsidRPr="00B51C7D">
              <w:rPr>
                <w:rFonts w:asciiTheme="majorBidi" w:hAnsiTheme="majorBidi" w:cstheme="majorBidi"/>
                <w:b/>
                <w:bCs/>
                <w:i/>
                <w:iCs/>
                <w:sz w:val="19"/>
                <w:szCs w:val="19"/>
              </w:rPr>
              <w:t>Senior Financial Analyst</w:t>
            </w:r>
            <w:r w:rsidRPr="00B51C7D">
              <w:rPr>
                <w:rFonts w:asciiTheme="majorBidi" w:hAnsiTheme="majorBidi" w:cstheme="majorBidi"/>
                <w:b/>
                <w:bCs/>
                <w:sz w:val="19"/>
                <w:szCs w:val="19"/>
              </w:rPr>
              <w:t>, Community Council of Greater Dallas, Dallas, TX</w:t>
            </w:r>
          </w:p>
        </w:tc>
        <w:tc>
          <w:tcPr>
            <w:tcW w:w="2400" w:type="dxa"/>
            <w:tcBorders>
              <w:top w:val="nil"/>
              <w:left w:val="nil"/>
              <w:bottom w:val="nil"/>
              <w:right w:val="nil"/>
            </w:tcBorders>
            <w:tcMar>
              <w:top w:w="0" w:type="dxa"/>
              <w:left w:w="0" w:type="dxa"/>
              <w:bottom w:w="0" w:type="dxa"/>
              <w:right w:w="0" w:type="dxa"/>
            </w:tcMar>
            <w:vAlign w:val="bottom"/>
            <w:hideMark/>
          </w:tcPr>
          <w:p w14:paraId="624B872D" w14:textId="77777777" w:rsidR="00B22CA0" w:rsidRPr="00B51C7D" w:rsidRDefault="00B22CA0">
            <w:pPr>
              <w:spacing w:before="60"/>
              <w:jc w:val="right"/>
              <w:rPr>
                <w:rFonts w:asciiTheme="majorBidi" w:hAnsiTheme="majorBidi" w:cstheme="majorBidi"/>
                <w:sz w:val="19"/>
                <w:szCs w:val="19"/>
              </w:rPr>
            </w:pPr>
            <w:r w:rsidRPr="00B51C7D">
              <w:rPr>
                <w:rFonts w:asciiTheme="majorBidi" w:hAnsiTheme="majorBidi" w:cstheme="majorBidi"/>
                <w:b/>
                <w:bCs/>
                <w:sz w:val="19"/>
                <w:szCs w:val="19"/>
              </w:rPr>
              <w:t>Jan 2020 – Jul 2022</w:t>
            </w:r>
          </w:p>
        </w:tc>
      </w:tr>
    </w:tbl>
    <w:p w14:paraId="750BDA9E" w14:textId="2DB5DEFF" w:rsidR="00747D7D" w:rsidRPr="00B51C7D" w:rsidRDefault="00CA399F" w:rsidP="00CA5029">
      <w:pPr>
        <w:spacing w:before="20" w:after="40"/>
        <w:rPr>
          <w:rFonts w:asciiTheme="majorBidi" w:hAnsiTheme="majorBidi" w:cstheme="majorBidi"/>
          <w:szCs w:val="18"/>
        </w:rPr>
      </w:pPr>
      <w:r w:rsidRPr="00B51C7D">
        <w:rPr>
          <w:rFonts w:asciiTheme="majorBidi" w:hAnsiTheme="majorBidi" w:cstheme="majorBidi"/>
          <w:color w:val="505050"/>
        </w:rPr>
        <w:t>Drove</w:t>
      </w:r>
      <w:r w:rsidR="00747D7D" w:rsidRPr="00B51C7D">
        <w:rPr>
          <w:rFonts w:asciiTheme="majorBidi" w:hAnsiTheme="majorBidi" w:cstheme="majorBidi"/>
          <w:color w:val="505050"/>
          <w:szCs w:val="18"/>
        </w:rPr>
        <w:t xml:space="preserve"> forecasting, audit readiness, and </w:t>
      </w:r>
      <w:r w:rsidRPr="00B51C7D">
        <w:rPr>
          <w:rFonts w:asciiTheme="majorBidi" w:hAnsiTheme="majorBidi" w:cstheme="majorBidi"/>
          <w:color w:val="505050"/>
        </w:rPr>
        <w:t>leadership</w:t>
      </w:r>
      <w:r w:rsidR="00747D7D" w:rsidRPr="00B51C7D">
        <w:rPr>
          <w:rFonts w:asciiTheme="majorBidi" w:hAnsiTheme="majorBidi" w:cstheme="majorBidi"/>
          <w:color w:val="505050"/>
          <w:szCs w:val="18"/>
        </w:rPr>
        <w:t xml:space="preserve"> reporting for a rapidly expanding multi-award portfolio and partner network.</w:t>
      </w:r>
    </w:p>
    <w:p w14:paraId="48272700" w14:textId="77777777" w:rsidR="008C4C45" w:rsidRPr="00B51C7D" w:rsidRDefault="008C4C45" w:rsidP="00CA5029">
      <w:pPr>
        <w:pStyle w:val="ListBullet"/>
        <w:rPr>
          <w:rFonts w:asciiTheme="majorBidi" w:hAnsiTheme="majorBidi" w:cstheme="majorBidi"/>
          <w:lang w:eastAsia="en-US"/>
        </w:rPr>
      </w:pPr>
      <w:r w:rsidRPr="00B51C7D">
        <w:rPr>
          <w:rFonts w:asciiTheme="majorBidi" w:hAnsiTheme="majorBidi" w:cstheme="majorBidi"/>
        </w:rPr>
        <w:t>Led a cross-regional funding-growth strategy that secured over $20M in grant revenue, scaled the partner network to 30+ NGOs, and sustained compliance across 50+ active awards.</w:t>
      </w:r>
    </w:p>
    <w:p w14:paraId="7F3F2316" w14:textId="77777777" w:rsidR="006822E6" w:rsidRPr="00B51C7D" w:rsidRDefault="00B71F42">
      <w:pPr>
        <w:pStyle w:val="ListBullet"/>
        <w:rPr>
          <w:rFonts w:asciiTheme="majorBidi" w:hAnsiTheme="majorBidi" w:cstheme="majorBidi"/>
          <w:szCs w:val="17"/>
        </w:rPr>
      </w:pPr>
      <w:r w:rsidRPr="00B51C7D">
        <w:rPr>
          <w:rFonts w:asciiTheme="majorBidi" w:hAnsiTheme="majorBidi" w:cstheme="majorBidi"/>
          <w:szCs w:val="17"/>
        </w:rPr>
        <w:t>Redesigned internal-control documentation and coordinated structured pre-audit review cycles, reducing audit discrepancies by 75%.</w:t>
      </w:r>
    </w:p>
    <w:p w14:paraId="4BCC0EB8" w14:textId="584FA8A8" w:rsidR="00747D7D" w:rsidRPr="00B51C7D" w:rsidRDefault="0087633E" w:rsidP="0087633E">
      <w:pPr>
        <w:pStyle w:val="ListBullet"/>
        <w:rPr>
          <w:rFonts w:asciiTheme="majorBidi" w:hAnsiTheme="majorBidi" w:cstheme="majorBidi"/>
          <w:sz w:val="18"/>
          <w:szCs w:val="18"/>
        </w:rPr>
      </w:pPr>
      <w:r w:rsidRPr="00B51C7D">
        <w:rPr>
          <w:rFonts w:asciiTheme="majorBidi" w:hAnsiTheme="majorBidi" w:cstheme="majorBidi"/>
        </w:rPr>
        <w:t>Delivered</w:t>
      </w:r>
      <w:r w:rsidR="00747D7D" w:rsidRPr="00B51C7D">
        <w:rPr>
          <w:rFonts w:asciiTheme="majorBidi" w:hAnsiTheme="majorBidi" w:cstheme="majorBidi"/>
        </w:rPr>
        <w:t xml:space="preserve"> forecasts</w:t>
      </w:r>
      <w:r w:rsidRPr="00B51C7D">
        <w:rPr>
          <w:rFonts w:asciiTheme="majorBidi" w:hAnsiTheme="majorBidi" w:cstheme="majorBidi"/>
        </w:rPr>
        <w:t xml:space="preserve"> and</w:t>
      </w:r>
      <w:r w:rsidR="00747D7D" w:rsidRPr="00B51C7D">
        <w:rPr>
          <w:rFonts w:asciiTheme="majorBidi" w:hAnsiTheme="majorBidi" w:cstheme="majorBidi"/>
        </w:rPr>
        <w:t xml:space="preserve"> performance analyses</w:t>
      </w:r>
      <w:r w:rsidRPr="00B51C7D">
        <w:rPr>
          <w:rFonts w:asciiTheme="majorBidi" w:hAnsiTheme="majorBidi" w:cstheme="majorBidi"/>
        </w:rPr>
        <w:t xml:space="preserve"> to</w:t>
      </w:r>
      <w:r w:rsidR="00747D7D" w:rsidRPr="00B51C7D">
        <w:rPr>
          <w:rFonts w:asciiTheme="majorBidi" w:hAnsiTheme="majorBidi" w:cstheme="majorBidi"/>
        </w:rPr>
        <w:t xml:space="preserve"> the CFO and Board of Directors, informing strategic planning and </w:t>
      </w:r>
      <w:r w:rsidRPr="00B51C7D">
        <w:rPr>
          <w:rFonts w:asciiTheme="majorBidi" w:hAnsiTheme="majorBidi" w:cstheme="majorBidi"/>
        </w:rPr>
        <w:t xml:space="preserve">the </w:t>
      </w:r>
      <w:r w:rsidR="00747D7D" w:rsidRPr="00B51C7D">
        <w:rPr>
          <w:rFonts w:asciiTheme="majorBidi" w:hAnsiTheme="majorBidi" w:cstheme="majorBidi"/>
        </w:rPr>
        <w:t xml:space="preserve">allocation </w:t>
      </w:r>
      <w:r w:rsidRPr="00B51C7D">
        <w:rPr>
          <w:rFonts w:asciiTheme="majorBidi" w:hAnsiTheme="majorBidi" w:cstheme="majorBidi"/>
        </w:rPr>
        <w:t>of resources</w:t>
      </w:r>
      <w:r w:rsidR="00747D7D" w:rsidRPr="00B51C7D">
        <w:rPr>
          <w:rFonts w:asciiTheme="majorBidi" w:hAnsiTheme="majorBidi" w:cstheme="majorBidi"/>
        </w:rPr>
        <w:t>.</w:t>
      </w:r>
    </w:p>
    <w:tbl>
      <w:tblPr>
        <w:tblStyle w:val="TableGrid"/>
        <w:tblW w:w="102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2400"/>
      </w:tblGrid>
      <w:tr w:rsidR="00B22CA0" w:rsidRPr="00B51C7D" w14:paraId="2C8C20E3" w14:textId="77777777">
        <w:tc>
          <w:tcPr>
            <w:tcW w:w="7880" w:type="dxa"/>
            <w:tcBorders>
              <w:top w:val="nil"/>
              <w:left w:val="nil"/>
              <w:bottom w:val="nil"/>
              <w:right w:val="nil"/>
            </w:tcBorders>
            <w:tcMar>
              <w:top w:w="0" w:type="dxa"/>
              <w:left w:w="0" w:type="dxa"/>
              <w:bottom w:w="0" w:type="dxa"/>
              <w:right w:w="0" w:type="dxa"/>
            </w:tcMar>
            <w:vAlign w:val="bottom"/>
            <w:hideMark/>
          </w:tcPr>
          <w:p w14:paraId="73069315" w14:textId="77777777" w:rsidR="00B22CA0" w:rsidRPr="00B51C7D" w:rsidRDefault="00B22CA0">
            <w:pPr>
              <w:spacing w:before="60"/>
              <w:rPr>
                <w:rFonts w:asciiTheme="majorBidi" w:hAnsiTheme="majorBidi" w:cstheme="majorBidi"/>
                <w:sz w:val="19"/>
                <w:szCs w:val="19"/>
                <w:lang w:eastAsia="en-US"/>
              </w:rPr>
            </w:pPr>
            <w:r w:rsidRPr="00B51C7D">
              <w:rPr>
                <w:rFonts w:asciiTheme="majorBidi" w:hAnsiTheme="majorBidi" w:cstheme="majorBidi"/>
                <w:b/>
                <w:bCs/>
                <w:i/>
                <w:iCs/>
                <w:sz w:val="19"/>
                <w:szCs w:val="19"/>
              </w:rPr>
              <w:t>Audit In-Charge</w:t>
            </w:r>
            <w:r w:rsidRPr="00B51C7D">
              <w:rPr>
                <w:rFonts w:asciiTheme="majorBidi" w:hAnsiTheme="majorBidi" w:cstheme="majorBidi"/>
                <w:b/>
                <w:bCs/>
                <w:sz w:val="19"/>
                <w:szCs w:val="19"/>
              </w:rPr>
              <w:t>, Deloitte, Dallas, TX</w:t>
            </w:r>
          </w:p>
        </w:tc>
        <w:tc>
          <w:tcPr>
            <w:tcW w:w="2400" w:type="dxa"/>
            <w:tcBorders>
              <w:top w:val="nil"/>
              <w:left w:val="nil"/>
              <w:bottom w:val="nil"/>
              <w:right w:val="nil"/>
            </w:tcBorders>
            <w:tcMar>
              <w:top w:w="0" w:type="dxa"/>
              <w:left w:w="0" w:type="dxa"/>
              <w:bottom w:w="0" w:type="dxa"/>
              <w:right w:w="0" w:type="dxa"/>
            </w:tcMar>
            <w:vAlign w:val="bottom"/>
            <w:hideMark/>
          </w:tcPr>
          <w:p w14:paraId="5E458856" w14:textId="77777777" w:rsidR="00B22CA0" w:rsidRPr="00B51C7D" w:rsidRDefault="00B22CA0">
            <w:pPr>
              <w:spacing w:before="60"/>
              <w:jc w:val="right"/>
              <w:rPr>
                <w:rFonts w:asciiTheme="majorBidi" w:hAnsiTheme="majorBidi" w:cstheme="majorBidi"/>
                <w:sz w:val="19"/>
                <w:szCs w:val="19"/>
              </w:rPr>
            </w:pPr>
            <w:r w:rsidRPr="00B51C7D">
              <w:rPr>
                <w:rFonts w:asciiTheme="majorBidi" w:hAnsiTheme="majorBidi" w:cstheme="majorBidi"/>
                <w:b/>
                <w:bCs/>
                <w:sz w:val="19"/>
                <w:szCs w:val="19"/>
              </w:rPr>
              <w:t>Aug 2018 – Dec 2019</w:t>
            </w:r>
          </w:p>
        </w:tc>
      </w:tr>
    </w:tbl>
    <w:p w14:paraId="59A5F4F2" w14:textId="069EC744" w:rsidR="00747D7D" w:rsidRPr="00B51C7D" w:rsidRDefault="00747D7D" w:rsidP="00AF0576">
      <w:pPr>
        <w:spacing w:before="20" w:after="40"/>
        <w:rPr>
          <w:rFonts w:asciiTheme="majorBidi" w:hAnsiTheme="majorBidi" w:cstheme="majorBidi"/>
          <w:iCs/>
          <w:szCs w:val="18"/>
        </w:rPr>
      </w:pPr>
      <w:r w:rsidRPr="00B51C7D">
        <w:rPr>
          <w:rFonts w:asciiTheme="majorBidi" w:hAnsiTheme="majorBidi" w:cstheme="majorBidi"/>
          <w:iCs/>
          <w:color w:val="505050"/>
          <w:szCs w:val="18"/>
        </w:rPr>
        <w:t xml:space="preserve">Led </w:t>
      </w:r>
      <w:r w:rsidR="001E2DC3" w:rsidRPr="00B51C7D">
        <w:rPr>
          <w:rFonts w:asciiTheme="majorBidi" w:hAnsiTheme="majorBidi" w:cstheme="majorBidi"/>
          <w:iCs/>
          <w:color w:val="505050"/>
        </w:rPr>
        <w:t>large-scale</w:t>
      </w:r>
      <w:r w:rsidRPr="00B51C7D">
        <w:rPr>
          <w:rFonts w:asciiTheme="majorBidi" w:hAnsiTheme="majorBidi" w:cstheme="majorBidi"/>
          <w:iCs/>
          <w:color w:val="505050"/>
          <w:szCs w:val="18"/>
        </w:rPr>
        <w:t xml:space="preserve"> audit engagements at Deloitte — one of the world’s Big Four professional services firms — for public and private company clients.</w:t>
      </w:r>
    </w:p>
    <w:p w14:paraId="6996CE09" w14:textId="555FC708" w:rsidR="00747D7D" w:rsidRPr="00B51C7D" w:rsidRDefault="005E78B2" w:rsidP="005E78B2">
      <w:pPr>
        <w:pStyle w:val="ListBullet"/>
        <w:rPr>
          <w:rFonts w:asciiTheme="majorBidi" w:hAnsiTheme="majorBidi" w:cstheme="majorBidi"/>
        </w:rPr>
      </w:pPr>
      <w:r w:rsidRPr="00B51C7D">
        <w:rPr>
          <w:rFonts w:asciiTheme="majorBidi" w:hAnsiTheme="majorBidi" w:cstheme="majorBidi"/>
        </w:rPr>
        <w:t>Oversaw</w:t>
      </w:r>
      <w:r w:rsidR="00747D7D" w:rsidRPr="00B51C7D">
        <w:rPr>
          <w:rFonts w:asciiTheme="majorBidi" w:hAnsiTheme="majorBidi" w:cstheme="majorBidi"/>
        </w:rPr>
        <w:t xml:space="preserve"> multiple engagements from planning through reporting, </w:t>
      </w:r>
      <w:r w:rsidRPr="00B51C7D">
        <w:rPr>
          <w:rFonts w:asciiTheme="majorBidi" w:hAnsiTheme="majorBidi" w:cstheme="majorBidi"/>
        </w:rPr>
        <w:t>directing</w:t>
      </w:r>
      <w:r w:rsidR="00747D7D" w:rsidRPr="00B51C7D">
        <w:rPr>
          <w:rFonts w:asciiTheme="majorBidi" w:hAnsiTheme="majorBidi" w:cstheme="majorBidi"/>
        </w:rPr>
        <w:t xml:space="preserve"> teams of 20+ and serving as the primary client contact to keep deliverables on schedule.</w:t>
      </w:r>
    </w:p>
    <w:p w14:paraId="03FF76FC" w14:textId="40405CFC" w:rsidR="00747D7D" w:rsidRPr="00B51C7D" w:rsidRDefault="00747D7D" w:rsidP="000E01CD">
      <w:pPr>
        <w:pStyle w:val="ListBullet"/>
        <w:rPr>
          <w:rFonts w:asciiTheme="majorBidi" w:hAnsiTheme="majorBidi" w:cstheme="majorBidi"/>
        </w:rPr>
      </w:pPr>
      <w:r w:rsidRPr="00B51C7D">
        <w:rPr>
          <w:rFonts w:asciiTheme="majorBidi" w:hAnsiTheme="majorBidi" w:cstheme="majorBidi"/>
        </w:rPr>
        <w:t xml:space="preserve">Evaluated internal controls, financial-reporting risks, and </w:t>
      </w:r>
      <w:r w:rsidR="000E01CD" w:rsidRPr="00B51C7D">
        <w:rPr>
          <w:rFonts w:asciiTheme="majorBidi" w:hAnsiTheme="majorBidi" w:cstheme="majorBidi"/>
        </w:rPr>
        <w:t>non-routine</w:t>
      </w:r>
      <w:r w:rsidRPr="00B51C7D">
        <w:rPr>
          <w:rFonts w:asciiTheme="majorBidi" w:hAnsiTheme="majorBidi" w:cstheme="majorBidi"/>
        </w:rPr>
        <w:t xml:space="preserve"> accounting transactions, translating findings into actionable recommendations for </w:t>
      </w:r>
      <w:r w:rsidR="000E01CD" w:rsidRPr="00B51C7D">
        <w:rPr>
          <w:rFonts w:asciiTheme="majorBidi" w:hAnsiTheme="majorBidi" w:cstheme="majorBidi"/>
        </w:rPr>
        <w:t>client</w:t>
      </w:r>
      <w:r w:rsidRPr="00B51C7D">
        <w:rPr>
          <w:rFonts w:asciiTheme="majorBidi" w:hAnsiTheme="majorBidi" w:cstheme="majorBidi"/>
        </w:rPr>
        <w:t xml:space="preserve"> leadership.</w:t>
      </w:r>
    </w:p>
    <w:tbl>
      <w:tblPr>
        <w:tblStyle w:val="TableGrid"/>
        <w:tblW w:w="102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0"/>
        <w:gridCol w:w="2400"/>
      </w:tblGrid>
      <w:tr w:rsidR="00B22CA0" w:rsidRPr="00B51C7D" w14:paraId="1C4532DD" w14:textId="77777777">
        <w:tc>
          <w:tcPr>
            <w:tcW w:w="7880" w:type="dxa"/>
            <w:tcBorders>
              <w:top w:val="nil"/>
              <w:left w:val="nil"/>
              <w:bottom w:val="nil"/>
              <w:right w:val="nil"/>
            </w:tcBorders>
            <w:tcMar>
              <w:top w:w="0" w:type="dxa"/>
              <w:left w:w="0" w:type="dxa"/>
              <w:bottom w:w="0" w:type="dxa"/>
              <w:right w:w="0" w:type="dxa"/>
            </w:tcMar>
            <w:vAlign w:val="bottom"/>
            <w:hideMark/>
          </w:tcPr>
          <w:p w14:paraId="422F0326" w14:textId="77777777" w:rsidR="00B22CA0" w:rsidRPr="00B51C7D" w:rsidRDefault="00B22CA0">
            <w:pPr>
              <w:spacing w:before="60"/>
              <w:rPr>
                <w:rFonts w:asciiTheme="majorBidi" w:hAnsiTheme="majorBidi" w:cstheme="majorBidi"/>
                <w:sz w:val="19"/>
                <w:szCs w:val="19"/>
                <w:lang w:eastAsia="en-US"/>
              </w:rPr>
            </w:pPr>
            <w:r w:rsidRPr="00B51C7D">
              <w:rPr>
                <w:rFonts w:asciiTheme="majorBidi" w:hAnsiTheme="majorBidi" w:cstheme="majorBidi"/>
                <w:b/>
                <w:bCs/>
                <w:i/>
                <w:iCs/>
                <w:sz w:val="19"/>
                <w:szCs w:val="19"/>
              </w:rPr>
              <w:t>Audit Staff</w:t>
            </w:r>
            <w:r w:rsidRPr="00B51C7D">
              <w:rPr>
                <w:rFonts w:asciiTheme="majorBidi" w:hAnsiTheme="majorBidi" w:cstheme="majorBidi"/>
                <w:b/>
                <w:bCs/>
                <w:sz w:val="19"/>
                <w:szCs w:val="19"/>
              </w:rPr>
              <w:t>, Deloitte, Dallas, TX</w:t>
            </w:r>
          </w:p>
        </w:tc>
        <w:tc>
          <w:tcPr>
            <w:tcW w:w="2400" w:type="dxa"/>
            <w:tcBorders>
              <w:top w:val="nil"/>
              <w:left w:val="nil"/>
              <w:bottom w:val="nil"/>
              <w:right w:val="nil"/>
            </w:tcBorders>
            <w:tcMar>
              <w:top w:w="0" w:type="dxa"/>
              <w:left w:w="0" w:type="dxa"/>
              <w:bottom w:w="0" w:type="dxa"/>
              <w:right w:w="0" w:type="dxa"/>
            </w:tcMar>
            <w:vAlign w:val="bottom"/>
            <w:hideMark/>
          </w:tcPr>
          <w:p w14:paraId="2098AD83" w14:textId="77777777" w:rsidR="00B22CA0" w:rsidRPr="00B51C7D" w:rsidRDefault="00B22CA0">
            <w:pPr>
              <w:spacing w:before="60"/>
              <w:jc w:val="right"/>
              <w:rPr>
                <w:rFonts w:asciiTheme="majorBidi" w:hAnsiTheme="majorBidi" w:cstheme="majorBidi"/>
                <w:sz w:val="19"/>
                <w:szCs w:val="19"/>
              </w:rPr>
            </w:pPr>
            <w:r w:rsidRPr="00B51C7D">
              <w:rPr>
                <w:rFonts w:asciiTheme="majorBidi" w:hAnsiTheme="majorBidi" w:cstheme="majorBidi"/>
                <w:b/>
                <w:bCs/>
                <w:sz w:val="19"/>
                <w:szCs w:val="19"/>
              </w:rPr>
              <w:t>Sep 2016 – Aug 2018</w:t>
            </w:r>
          </w:p>
        </w:tc>
      </w:tr>
    </w:tbl>
    <w:p w14:paraId="685C6BF2" w14:textId="77777777" w:rsidR="00D30BCD" w:rsidRPr="00B51C7D" w:rsidRDefault="00D30BCD">
      <w:pPr>
        <w:spacing w:before="20" w:after="40"/>
        <w:rPr>
          <w:rFonts w:asciiTheme="majorBidi" w:hAnsiTheme="majorBidi" w:cstheme="majorBidi"/>
          <w:szCs w:val="18"/>
          <w:lang w:eastAsia="en-US"/>
        </w:rPr>
      </w:pPr>
      <w:r w:rsidRPr="00B51C7D">
        <w:rPr>
          <w:rFonts w:asciiTheme="majorBidi" w:hAnsiTheme="majorBidi" w:cstheme="majorBidi"/>
          <w:color w:val="505050"/>
          <w:szCs w:val="18"/>
        </w:rPr>
        <w:t>Executed financial statement audits and risk assessments at Deloitte, building technical expertise in internal controls and financial reporting while contributing to the firm’s corporate social impact initiatives.</w:t>
      </w:r>
    </w:p>
    <w:p w14:paraId="1EE9179C" w14:textId="77777777" w:rsidR="00747D7D" w:rsidRPr="00B51C7D" w:rsidRDefault="00747D7D" w:rsidP="008C4C45">
      <w:pPr>
        <w:pStyle w:val="ListBullet"/>
        <w:rPr>
          <w:rFonts w:asciiTheme="majorBidi" w:hAnsiTheme="majorBidi" w:cstheme="majorBidi"/>
        </w:rPr>
      </w:pPr>
      <w:r w:rsidRPr="00B51C7D">
        <w:rPr>
          <w:rFonts w:asciiTheme="majorBidi" w:hAnsiTheme="majorBidi" w:cstheme="majorBidi"/>
        </w:rPr>
        <w:t>Performed audit testing across key financial-statement areas for public and private clients, including risk assessment and internal-control procedures.</w:t>
      </w:r>
    </w:p>
    <w:p w14:paraId="31CC659C" w14:textId="77777777" w:rsidR="006822E6" w:rsidRPr="00B51C7D" w:rsidRDefault="00B71F42">
      <w:pPr>
        <w:pStyle w:val="ListBullet"/>
        <w:rPr>
          <w:rFonts w:asciiTheme="majorBidi" w:hAnsiTheme="majorBidi" w:cstheme="majorBidi"/>
          <w:szCs w:val="17"/>
        </w:rPr>
      </w:pPr>
      <w:r w:rsidRPr="00B51C7D">
        <w:rPr>
          <w:rFonts w:asciiTheme="majorBidi" w:hAnsiTheme="majorBidi" w:cstheme="majorBidi"/>
          <w:szCs w:val="17"/>
        </w:rPr>
        <w:t>Supported Deloitte's Social Impact Committee by coordinating community volunteer initiatives across the Dallas–Fort Worth area.</w:t>
      </w:r>
    </w:p>
    <w:p w14:paraId="0962F1A9" w14:textId="77777777" w:rsidR="006822E6" w:rsidRPr="00B51C7D" w:rsidRDefault="00B71F42">
      <w:pPr>
        <w:pStyle w:val="Heading1"/>
        <w:pBdr>
          <w:bottom w:val="single" w:sz="8" w:space="1" w:color="1F374E"/>
        </w:pBdr>
        <w:rPr>
          <w:rFonts w:asciiTheme="majorBidi" w:hAnsiTheme="majorBidi"/>
          <w:sz w:val="19"/>
          <w:szCs w:val="19"/>
        </w:rPr>
      </w:pPr>
      <w:r w:rsidRPr="00B51C7D">
        <w:rPr>
          <w:rFonts w:asciiTheme="majorBidi" w:hAnsiTheme="majorBidi"/>
          <w:sz w:val="19"/>
          <w:szCs w:val="19"/>
        </w:rPr>
        <w:t>EDUCATION</w:t>
      </w:r>
    </w:p>
    <w:p w14:paraId="33DD87A8" w14:textId="77777777" w:rsidR="006822E6" w:rsidRPr="00B51C7D" w:rsidRDefault="00B71F42" w:rsidP="004772CE">
      <w:pPr>
        <w:spacing w:after="0"/>
        <w:rPr>
          <w:rFonts w:asciiTheme="majorBidi" w:hAnsiTheme="majorBidi" w:cstheme="majorBidi"/>
          <w:sz w:val="19"/>
          <w:szCs w:val="19"/>
        </w:rPr>
      </w:pPr>
      <w:r w:rsidRPr="00B51C7D">
        <w:rPr>
          <w:rFonts w:asciiTheme="majorBidi" w:hAnsiTheme="majorBidi" w:cstheme="majorBidi"/>
          <w:b/>
          <w:sz w:val="19"/>
          <w:szCs w:val="19"/>
        </w:rPr>
        <w:t xml:space="preserve">The University of Texas at </w:t>
      </w:r>
      <w:proofErr w:type="gramStart"/>
      <w:r w:rsidRPr="00B51C7D">
        <w:rPr>
          <w:rFonts w:asciiTheme="majorBidi" w:hAnsiTheme="majorBidi" w:cstheme="majorBidi"/>
          <w:b/>
          <w:sz w:val="19"/>
          <w:szCs w:val="19"/>
        </w:rPr>
        <w:t>Dallas</w:t>
      </w:r>
      <w:r w:rsidRPr="00B51C7D">
        <w:rPr>
          <w:rFonts w:asciiTheme="majorBidi" w:hAnsiTheme="majorBidi" w:cstheme="majorBidi"/>
          <w:sz w:val="19"/>
          <w:szCs w:val="19"/>
        </w:rPr>
        <w:t xml:space="preserve">  —</w:t>
      </w:r>
      <w:proofErr w:type="gramEnd"/>
      <w:r w:rsidRPr="00B51C7D">
        <w:rPr>
          <w:rFonts w:asciiTheme="majorBidi" w:hAnsiTheme="majorBidi" w:cstheme="majorBidi"/>
          <w:sz w:val="19"/>
          <w:szCs w:val="19"/>
        </w:rPr>
        <w:t xml:space="preserve">  Richardson, </w:t>
      </w:r>
      <w:proofErr w:type="gramStart"/>
      <w:r w:rsidRPr="00B51C7D">
        <w:rPr>
          <w:rFonts w:asciiTheme="majorBidi" w:hAnsiTheme="majorBidi" w:cstheme="majorBidi"/>
          <w:sz w:val="19"/>
          <w:szCs w:val="19"/>
        </w:rPr>
        <w:t>TX  |</w:t>
      </w:r>
      <w:proofErr w:type="gramEnd"/>
      <w:r w:rsidRPr="00B51C7D">
        <w:rPr>
          <w:rFonts w:asciiTheme="majorBidi" w:hAnsiTheme="majorBidi" w:cstheme="majorBidi"/>
          <w:sz w:val="19"/>
          <w:szCs w:val="19"/>
        </w:rPr>
        <w:t xml:space="preserve">  MS </w:t>
      </w:r>
      <w:proofErr w:type="gramStart"/>
      <w:r w:rsidRPr="00B51C7D">
        <w:rPr>
          <w:rFonts w:asciiTheme="majorBidi" w:hAnsiTheme="majorBidi" w:cstheme="majorBidi"/>
          <w:sz w:val="19"/>
          <w:szCs w:val="19"/>
        </w:rPr>
        <w:t>Accounting  •</w:t>
      </w:r>
      <w:proofErr w:type="gramEnd"/>
      <w:r w:rsidRPr="00B51C7D">
        <w:rPr>
          <w:rFonts w:asciiTheme="majorBidi" w:hAnsiTheme="majorBidi" w:cstheme="majorBidi"/>
          <w:sz w:val="19"/>
          <w:szCs w:val="19"/>
        </w:rPr>
        <w:t xml:space="preserve">  BS Global </w:t>
      </w:r>
      <w:proofErr w:type="gramStart"/>
      <w:r w:rsidRPr="00B51C7D">
        <w:rPr>
          <w:rFonts w:asciiTheme="majorBidi" w:hAnsiTheme="majorBidi" w:cstheme="majorBidi"/>
          <w:sz w:val="19"/>
          <w:szCs w:val="19"/>
        </w:rPr>
        <w:t>Business  •</w:t>
      </w:r>
      <w:proofErr w:type="gramEnd"/>
      <w:r w:rsidRPr="00B51C7D">
        <w:rPr>
          <w:rFonts w:asciiTheme="majorBidi" w:hAnsiTheme="majorBidi" w:cstheme="majorBidi"/>
          <w:sz w:val="19"/>
          <w:szCs w:val="19"/>
        </w:rPr>
        <w:t xml:space="preserve">  BS Accounting</w:t>
      </w:r>
    </w:p>
    <w:p w14:paraId="52B9F7FB" w14:textId="75F77E11" w:rsidR="007D293C" w:rsidRPr="00B51C7D" w:rsidRDefault="007D293C" w:rsidP="007D293C">
      <w:pPr>
        <w:rPr>
          <w:rFonts w:asciiTheme="majorBidi" w:hAnsiTheme="majorBidi" w:cstheme="majorBidi"/>
          <w:sz w:val="2"/>
          <w:szCs w:val="2"/>
        </w:rPr>
      </w:pPr>
    </w:p>
    <w:sectPr w:rsidR="007D293C" w:rsidRPr="00B51C7D">
      <w:headerReference w:type="default" r:id="rId7"/>
      <w:footerReference w:type="default" r:id="rId8"/>
      <w:pgSz w:w="12240" w:h="15840"/>
      <w:pgMar w:top="792" w:right="979" w:bottom="792" w:left="97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2E127" w14:textId="77777777" w:rsidR="005014B8" w:rsidRDefault="005014B8" w:rsidP="002069D1">
      <w:pPr>
        <w:spacing w:after="0" w:line="240" w:lineRule="auto"/>
      </w:pPr>
      <w:r>
        <w:separator/>
      </w:r>
    </w:p>
  </w:endnote>
  <w:endnote w:type="continuationSeparator" w:id="0">
    <w:p w14:paraId="297D66F1" w14:textId="77777777" w:rsidR="005014B8" w:rsidRDefault="005014B8" w:rsidP="00206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8138E" w14:textId="0A054FA1" w:rsidR="4388DF0C" w:rsidRDefault="4388DF0C" w:rsidP="4388DF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83EBC" w14:textId="77777777" w:rsidR="005014B8" w:rsidRDefault="005014B8" w:rsidP="002069D1">
      <w:pPr>
        <w:spacing w:after="0" w:line="240" w:lineRule="auto"/>
      </w:pPr>
      <w:r>
        <w:separator/>
      </w:r>
    </w:p>
  </w:footnote>
  <w:footnote w:type="continuationSeparator" w:id="0">
    <w:p w14:paraId="1E319D7A" w14:textId="77777777" w:rsidR="005014B8" w:rsidRDefault="005014B8" w:rsidP="002069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25"/>
      <w:gridCol w:w="3425"/>
      <w:gridCol w:w="3425"/>
    </w:tblGrid>
    <w:tr w:rsidR="4388DF0C" w14:paraId="1D3FDDAD" w14:textId="77777777" w:rsidTr="4388DF0C">
      <w:trPr>
        <w:trHeight w:val="300"/>
      </w:trPr>
      <w:tc>
        <w:tcPr>
          <w:tcW w:w="3425" w:type="dxa"/>
        </w:tcPr>
        <w:p w14:paraId="60A848C3" w14:textId="29C41367" w:rsidR="4388DF0C" w:rsidRDefault="4388DF0C" w:rsidP="4388DF0C">
          <w:pPr>
            <w:pStyle w:val="Header"/>
            <w:ind w:left="-115"/>
          </w:pPr>
        </w:p>
      </w:tc>
      <w:tc>
        <w:tcPr>
          <w:tcW w:w="3425" w:type="dxa"/>
        </w:tcPr>
        <w:p w14:paraId="549CC8FA" w14:textId="5CCC905D" w:rsidR="4388DF0C" w:rsidRDefault="4388DF0C" w:rsidP="4388DF0C">
          <w:pPr>
            <w:pStyle w:val="Header"/>
            <w:jc w:val="center"/>
          </w:pPr>
        </w:p>
      </w:tc>
      <w:tc>
        <w:tcPr>
          <w:tcW w:w="3425" w:type="dxa"/>
        </w:tcPr>
        <w:p w14:paraId="1B5707AC" w14:textId="61674E84" w:rsidR="4388DF0C" w:rsidRDefault="4388DF0C" w:rsidP="4388DF0C">
          <w:pPr>
            <w:pStyle w:val="Header"/>
            <w:ind w:right="-115"/>
            <w:jc w:val="right"/>
          </w:pPr>
        </w:p>
      </w:tc>
    </w:tr>
  </w:tbl>
  <w:p w14:paraId="151E1F2D" w14:textId="6004AEC5" w:rsidR="4388DF0C" w:rsidRDefault="4388DF0C" w:rsidP="4388DF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802D1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804D87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F44E1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B00E91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A0CC6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14310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5E6E9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E08C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1EE2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BE73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A129CB"/>
    <w:multiLevelType w:val="multilevel"/>
    <w:tmpl w:val="2A8A4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3D0836"/>
    <w:multiLevelType w:val="singleLevel"/>
    <w:tmpl w:val="04090001"/>
    <w:lvl w:ilvl="0">
      <w:start w:val="1"/>
      <w:numFmt w:val="bullet"/>
      <w:lvlText w:val=""/>
      <w:lvlJc w:val="left"/>
      <w:pPr>
        <w:ind w:left="720" w:hanging="360"/>
      </w:pPr>
      <w:rPr>
        <w:rFonts w:ascii="Symbol" w:hAnsi="Symbol" w:hint="default"/>
      </w:rPr>
    </w:lvl>
  </w:abstractNum>
  <w:abstractNum w:abstractNumId="12" w15:restartNumberingAfterBreak="0">
    <w:nsid w:val="09F824C5"/>
    <w:multiLevelType w:val="multilevel"/>
    <w:tmpl w:val="A664D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D936E6A"/>
    <w:multiLevelType w:val="multilevel"/>
    <w:tmpl w:val="2AD0B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0956306"/>
    <w:multiLevelType w:val="multilevel"/>
    <w:tmpl w:val="5C164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87C046A"/>
    <w:multiLevelType w:val="multilevel"/>
    <w:tmpl w:val="ED2AE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65232B"/>
    <w:multiLevelType w:val="multilevel"/>
    <w:tmpl w:val="DF8EF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736549"/>
    <w:multiLevelType w:val="multilevel"/>
    <w:tmpl w:val="CAACC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D50986"/>
    <w:multiLevelType w:val="multilevel"/>
    <w:tmpl w:val="0A746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307CF5"/>
    <w:multiLevelType w:val="multilevel"/>
    <w:tmpl w:val="5380C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8B056E"/>
    <w:multiLevelType w:val="multilevel"/>
    <w:tmpl w:val="DB2A6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24673C"/>
    <w:multiLevelType w:val="hybridMultilevel"/>
    <w:tmpl w:val="D8D060C4"/>
    <w:lvl w:ilvl="0" w:tplc="D5409370">
      <w:start w:val="1"/>
      <w:numFmt w:val="bullet"/>
      <w:lvlText w:val=""/>
      <w:lvlJc w:val="left"/>
      <w:pPr>
        <w:ind w:left="720" w:hanging="360"/>
      </w:pPr>
      <w:rPr>
        <w:rFonts w:ascii="Symbol" w:hAnsi="Symbol" w:hint="default"/>
      </w:rPr>
    </w:lvl>
    <w:lvl w:ilvl="1" w:tplc="D072366E">
      <w:start w:val="1"/>
      <w:numFmt w:val="bullet"/>
      <w:lvlText w:val="o"/>
      <w:lvlJc w:val="left"/>
      <w:pPr>
        <w:ind w:left="1440" w:hanging="360"/>
      </w:pPr>
      <w:rPr>
        <w:rFonts w:ascii="Courier New" w:hAnsi="Courier New" w:hint="default"/>
      </w:rPr>
    </w:lvl>
    <w:lvl w:ilvl="2" w:tplc="9F0C031A">
      <w:start w:val="1"/>
      <w:numFmt w:val="bullet"/>
      <w:lvlText w:val=""/>
      <w:lvlJc w:val="left"/>
      <w:pPr>
        <w:ind w:left="2160" w:hanging="360"/>
      </w:pPr>
      <w:rPr>
        <w:rFonts w:ascii="Wingdings" w:hAnsi="Wingdings" w:hint="default"/>
      </w:rPr>
    </w:lvl>
    <w:lvl w:ilvl="3" w:tplc="78A0196A">
      <w:start w:val="1"/>
      <w:numFmt w:val="bullet"/>
      <w:lvlText w:val=""/>
      <w:lvlJc w:val="left"/>
      <w:pPr>
        <w:ind w:left="2880" w:hanging="360"/>
      </w:pPr>
      <w:rPr>
        <w:rFonts w:ascii="Symbol" w:hAnsi="Symbol" w:hint="default"/>
      </w:rPr>
    </w:lvl>
    <w:lvl w:ilvl="4" w:tplc="6F78ABA4">
      <w:start w:val="1"/>
      <w:numFmt w:val="bullet"/>
      <w:lvlText w:val="o"/>
      <w:lvlJc w:val="left"/>
      <w:pPr>
        <w:ind w:left="3600" w:hanging="360"/>
      </w:pPr>
      <w:rPr>
        <w:rFonts w:ascii="Courier New" w:hAnsi="Courier New" w:hint="default"/>
      </w:rPr>
    </w:lvl>
    <w:lvl w:ilvl="5" w:tplc="598A84FA">
      <w:start w:val="1"/>
      <w:numFmt w:val="bullet"/>
      <w:lvlText w:val=""/>
      <w:lvlJc w:val="left"/>
      <w:pPr>
        <w:ind w:left="4320" w:hanging="360"/>
      </w:pPr>
      <w:rPr>
        <w:rFonts w:ascii="Wingdings" w:hAnsi="Wingdings" w:hint="default"/>
      </w:rPr>
    </w:lvl>
    <w:lvl w:ilvl="6" w:tplc="DEB8DE06">
      <w:start w:val="1"/>
      <w:numFmt w:val="bullet"/>
      <w:lvlText w:val=""/>
      <w:lvlJc w:val="left"/>
      <w:pPr>
        <w:ind w:left="5040" w:hanging="360"/>
      </w:pPr>
      <w:rPr>
        <w:rFonts w:ascii="Symbol" w:hAnsi="Symbol" w:hint="default"/>
      </w:rPr>
    </w:lvl>
    <w:lvl w:ilvl="7" w:tplc="5170A0D2">
      <w:start w:val="1"/>
      <w:numFmt w:val="bullet"/>
      <w:lvlText w:val="o"/>
      <w:lvlJc w:val="left"/>
      <w:pPr>
        <w:ind w:left="5760" w:hanging="360"/>
      </w:pPr>
      <w:rPr>
        <w:rFonts w:ascii="Courier New" w:hAnsi="Courier New" w:hint="default"/>
      </w:rPr>
    </w:lvl>
    <w:lvl w:ilvl="8" w:tplc="30BC132C">
      <w:start w:val="1"/>
      <w:numFmt w:val="bullet"/>
      <w:lvlText w:val=""/>
      <w:lvlJc w:val="left"/>
      <w:pPr>
        <w:ind w:left="6480" w:hanging="360"/>
      </w:pPr>
      <w:rPr>
        <w:rFonts w:ascii="Wingdings" w:hAnsi="Wingdings" w:hint="default"/>
      </w:rPr>
    </w:lvl>
  </w:abstractNum>
  <w:abstractNum w:abstractNumId="22" w15:restartNumberingAfterBreak="0">
    <w:nsid w:val="45D82FFA"/>
    <w:multiLevelType w:val="multilevel"/>
    <w:tmpl w:val="86C6C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7777CA"/>
    <w:multiLevelType w:val="multilevel"/>
    <w:tmpl w:val="C03C6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BB223B"/>
    <w:multiLevelType w:val="multilevel"/>
    <w:tmpl w:val="BF329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3B7F1D"/>
    <w:multiLevelType w:val="multilevel"/>
    <w:tmpl w:val="84D0A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11B1F2D"/>
    <w:multiLevelType w:val="singleLevel"/>
    <w:tmpl w:val="0409000F"/>
    <w:lvl w:ilvl="0">
      <w:start w:val="1"/>
      <w:numFmt w:val="decimal"/>
      <w:lvlText w:val="%1."/>
      <w:lvlJc w:val="left"/>
      <w:pPr>
        <w:ind w:left="720" w:hanging="360"/>
      </w:pPr>
    </w:lvl>
  </w:abstractNum>
  <w:abstractNum w:abstractNumId="27" w15:restartNumberingAfterBreak="0">
    <w:nsid w:val="62E36D4B"/>
    <w:multiLevelType w:val="multilevel"/>
    <w:tmpl w:val="6E6ED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1762F6"/>
    <w:multiLevelType w:val="multilevel"/>
    <w:tmpl w:val="6818E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A53894"/>
    <w:multiLevelType w:val="singleLevel"/>
    <w:tmpl w:val="0409000F"/>
    <w:lvl w:ilvl="0">
      <w:start w:val="1"/>
      <w:numFmt w:val="decimal"/>
      <w:lvlText w:val="%1."/>
      <w:lvlJc w:val="left"/>
      <w:pPr>
        <w:ind w:left="720" w:hanging="360"/>
      </w:pPr>
    </w:lvl>
  </w:abstractNum>
  <w:abstractNum w:abstractNumId="30" w15:restartNumberingAfterBreak="0">
    <w:nsid w:val="6CBF362A"/>
    <w:multiLevelType w:val="singleLevel"/>
    <w:tmpl w:val="04090001"/>
    <w:lvl w:ilvl="0">
      <w:start w:val="1"/>
      <w:numFmt w:val="bullet"/>
      <w:lvlText w:val=""/>
      <w:lvlJc w:val="left"/>
      <w:pPr>
        <w:ind w:left="720" w:hanging="360"/>
      </w:pPr>
      <w:rPr>
        <w:rFonts w:ascii="Symbol" w:hAnsi="Symbol" w:hint="default"/>
      </w:rPr>
    </w:lvl>
  </w:abstractNum>
  <w:abstractNum w:abstractNumId="31" w15:restartNumberingAfterBreak="0">
    <w:nsid w:val="6E6311BA"/>
    <w:multiLevelType w:val="multilevel"/>
    <w:tmpl w:val="8E828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EAF5D64"/>
    <w:multiLevelType w:val="hybridMultilevel"/>
    <w:tmpl w:val="7E1683FC"/>
    <w:lvl w:ilvl="0" w:tplc="DDEC41A8">
      <w:start w:val="1"/>
      <w:numFmt w:val="decimal"/>
      <w:lvlText w:val="%1."/>
      <w:lvlJc w:val="left"/>
      <w:pPr>
        <w:ind w:left="720" w:hanging="360"/>
      </w:pPr>
    </w:lvl>
    <w:lvl w:ilvl="1" w:tplc="1ED42A3A">
      <w:start w:val="1"/>
      <w:numFmt w:val="lowerLetter"/>
      <w:lvlText w:val="%2."/>
      <w:lvlJc w:val="left"/>
      <w:pPr>
        <w:ind w:left="1440" w:hanging="360"/>
      </w:pPr>
    </w:lvl>
    <w:lvl w:ilvl="2" w:tplc="7862D174">
      <w:start w:val="1"/>
      <w:numFmt w:val="lowerRoman"/>
      <w:lvlText w:val="%3."/>
      <w:lvlJc w:val="right"/>
      <w:pPr>
        <w:ind w:left="2160" w:hanging="180"/>
      </w:pPr>
    </w:lvl>
    <w:lvl w:ilvl="3" w:tplc="DA928E12">
      <w:start w:val="1"/>
      <w:numFmt w:val="decimal"/>
      <w:lvlText w:val="%4."/>
      <w:lvlJc w:val="left"/>
      <w:pPr>
        <w:ind w:left="2880" w:hanging="360"/>
      </w:pPr>
    </w:lvl>
    <w:lvl w:ilvl="4" w:tplc="B7829F96">
      <w:start w:val="1"/>
      <w:numFmt w:val="lowerLetter"/>
      <w:lvlText w:val="%5."/>
      <w:lvlJc w:val="left"/>
      <w:pPr>
        <w:ind w:left="3600" w:hanging="360"/>
      </w:pPr>
    </w:lvl>
    <w:lvl w:ilvl="5" w:tplc="C0505ECC">
      <w:start w:val="1"/>
      <w:numFmt w:val="lowerRoman"/>
      <w:lvlText w:val="%6."/>
      <w:lvlJc w:val="right"/>
      <w:pPr>
        <w:ind w:left="4320" w:hanging="180"/>
      </w:pPr>
    </w:lvl>
    <w:lvl w:ilvl="6" w:tplc="47C81B2A">
      <w:start w:val="1"/>
      <w:numFmt w:val="decimal"/>
      <w:lvlText w:val="%7."/>
      <w:lvlJc w:val="left"/>
      <w:pPr>
        <w:ind w:left="5040" w:hanging="360"/>
      </w:pPr>
    </w:lvl>
    <w:lvl w:ilvl="7" w:tplc="694AD752">
      <w:start w:val="1"/>
      <w:numFmt w:val="lowerLetter"/>
      <w:lvlText w:val="%8."/>
      <w:lvlJc w:val="left"/>
      <w:pPr>
        <w:ind w:left="5760" w:hanging="360"/>
      </w:pPr>
    </w:lvl>
    <w:lvl w:ilvl="8" w:tplc="08C260FC">
      <w:start w:val="1"/>
      <w:numFmt w:val="lowerRoman"/>
      <w:lvlText w:val="%9."/>
      <w:lvlJc w:val="right"/>
      <w:pPr>
        <w:ind w:left="6480" w:hanging="180"/>
      </w:pPr>
    </w:lvl>
  </w:abstractNum>
  <w:num w:numId="1" w16cid:durableId="1567960367">
    <w:abstractNumId w:val="9"/>
  </w:num>
  <w:num w:numId="2" w16cid:durableId="966591539">
    <w:abstractNumId w:val="7"/>
  </w:num>
  <w:num w:numId="3" w16cid:durableId="1566836399">
    <w:abstractNumId w:val="6"/>
  </w:num>
  <w:num w:numId="4" w16cid:durableId="774254728">
    <w:abstractNumId w:val="5"/>
  </w:num>
  <w:num w:numId="5" w16cid:durableId="1690519602">
    <w:abstractNumId w:val="4"/>
  </w:num>
  <w:num w:numId="6" w16cid:durableId="1651517433">
    <w:abstractNumId w:val="8"/>
  </w:num>
  <w:num w:numId="7" w16cid:durableId="1993868796">
    <w:abstractNumId w:val="3"/>
  </w:num>
  <w:num w:numId="8" w16cid:durableId="1797212007">
    <w:abstractNumId w:val="2"/>
  </w:num>
  <w:num w:numId="9" w16cid:durableId="1976715822">
    <w:abstractNumId w:val="1"/>
  </w:num>
  <w:num w:numId="10" w16cid:durableId="355926133">
    <w:abstractNumId w:val="0"/>
  </w:num>
  <w:num w:numId="11" w16cid:durableId="437330815">
    <w:abstractNumId w:val="11"/>
  </w:num>
  <w:num w:numId="12" w16cid:durableId="1273904881">
    <w:abstractNumId w:val="30"/>
  </w:num>
  <w:num w:numId="13" w16cid:durableId="2110588750">
    <w:abstractNumId w:val="29"/>
  </w:num>
  <w:num w:numId="14" w16cid:durableId="1730575300">
    <w:abstractNumId w:val="26"/>
  </w:num>
  <w:num w:numId="15" w16cid:durableId="2063938215">
    <w:abstractNumId w:val="32"/>
  </w:num>
  <w:num w:numId="16" w16cid:durableId="1416627709">
    <w:abstractNumId w:val="21"/>
  </w:num>
  <w:num w:numId="17" w16cid:durableId="1039235717">
    <w:abstractNumId w:val="25"/>
  </w:num>
  <w:num w:numId="18" w16cid:durableId="245572985">
    <w:abstractNumId w:val="22"/>
  </w:num>
  <w:num w:numId="19" w16cid:durableId="1799252763">
    <w:abstractNumId w:val="10"/>
  </w:num>
  <w:num w:numId="20" w16cid:durableId="1775712857">
    <w:abstractNumId w:val="13"/>
  </w:num>
  <w:num w:numId="21" w16cid:durableId="935091136">
    <w:abstractNumId w:val="31"/>
  </w:num>
  <w:num w:numId="22" w16cid:durableId="388650949">
    <w:abstractNumId w:val="15"/>
  </w:num>
  <w:num w:numId="23" w16cid:durableId="1169175633">
    <w:abstractNumId w:val="27"/>
  </w:num>
  <w:num w:numId="24" w16cid:durableId="1343817336">
    <w:abstractNumId w:val="28"/>
  </w:num>
  <w:num w:numId="25" w16cid:durableId="134641683">
    <w:abstractNumId w:val="18"/>
  </w:num>
  <w:num w:numId="26" w16cid:durableId="1930776655">
    <w:abstractNumId w:val="24"/>
  </w:num>
  <w:num w:numId="27" w16cid:durableId="829827600">
    <w:abstractNumId w:val="19"/>
  </w:num>
  <w:num w:numId="28" w16cid:durableId="837766227">
    <w:abstractNumId w:val="16"/>
  </w:num>
  <w:num w:numId="29" w16cid:durableId="873887322">
    <w:abstractNumId w:val="12"/>
  </w:num>
  <w:num w:numId="30" w16cid:durableId="355010571">
    <w:abstractNumId w:val="23"/>
  </w:num>
  <w:num w:numId="31" w16cid:durableId="1683894589">
    <w:abstractNumId w:val="20"/>
  </w:num>
  <w:num w:numId="32" w16cid:durableId="117257530">
    <w:abstractNumId w:val="17"/>
  </w:num>
  <w:num w:numId="33" w16cid:durableId="18688350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C8F65A7"/>
    <w:rsid w:val="0004467B"/>
    <w:rsid w:val="0004485F"/>
    <w:rsid w:val="000B0BC0"/>
    <w:rsid w:val="000E01CD"/>
    <w:rsid w:val="001372DF"/>
    <w:rsid w:val="001E2DC3"/>
    <w:rsid w:val="001E7337"/>
    <w:rsid w:val="001F40EA"/>
    <w:rsid w:val="002069D1"/>
    <w:rsid w:val="00241C22"/>
    <w:rsid w:val="002807E9"/>
    <w:rsid w:val="002E51AB"/>
    <w:rsid w:val="002F2BE6"/>
    <w:rsid w:val="00324B44"/>
    <w:rsid w:val="0036562D"/>
    <w:rsid w:val="0037106C"/>
    <w:rsid w:val="0038509E"/>
    <w:rsid w:val="003917CE"/>
    <w:rsid w:val="003F4367"/>
    <w:rsid w:val="004772CE"/>
    <w:rsid w:val="004976E0"/>
    <w:rsid w:val="005014B8"/>
    <w:rsid w:val="005708EC"/>
    <w:rsid w:val="005A534A"/>
    <w:rsid w:val="005D08DC"/>
    <w:rsid w:val="005E78B2"/>
    <w:rsid w:val="0065392A"/>
    <w:rsid w:val="006543B7"/>
    <w:rsid w:val="00674783"/>
    <w:rsid w:val="0067535C"/>
    <w:rsid w:val="006822E6"/>
    <w:rsid w:val="00690E0B"/>
    <w:rsid w:val="006B4B7F"/>
    <w:rsid w:val="006C472B"/>
    <w:rsid w:val="00726B43"/>
    <w:rsid w:val="00747D7D"/>
    <w:rsid w:val="007A49E0"/>
    <w:rsid w:val="007D293C"/>
    <w:rsid w:val="008058BC"/>
    <w:rsid w:val="00827C87"/>
    <w:rsid w:val="0087633E"/>
    <w:rsid w:val="008C4C45"/>
    <w:rsid w:val="00916491"/>
    <w:rsid w:val="0094382C"/>
    <w:rsid w:val="009F50CA"/>
    <w:rsid w:val="00A02BFD"/>
    <w:rsid w:val="00A20880"/>
    <w:rsid w:val="00A3300F"/>
    <w:rsid w:val="00A352C8"/>
    <w:rsid w:val="00A4082E"/>
    <w:rsid w:val="00A56EA2"/>
    <w:rsid w:val="00A769D2"/>
    <w:rsid w:val="00A94CAE"/>
    <w:rsid w:val="00AF0576"/>
    <w:rsid w:val="00B062B0"/>
    <w:rsid w:val="00B22CA0"/>
    <w:rsid w:val="00B41C2B"/>
    <w:rsid w:val="00B51C7D"/>
    <w:rsid w:val="00B71F42"/>
    <w:rsid w:val="00BD6A5F"/>
    <w:rsid w:val="00C26D93"/>
    <w:rsid w:val="00C27141"/>
    <w:rsid w:val="00C73625"/>
    <w:rsid w:val="00CA399F"/>
    <w:rsid w:val="00CA5029"/>
    <w:rsid w:val="00D06860"/>
    <w:rsid w:val="00D2675D"/>
    <w:rsid w:val="00D30BCD"/>
    <w:rsid w:val="00D32292"/>
    <w:rsid w:val="00D62C58"/>
    <w:rsid w:val="00D75435"/>
    <w:rsid w:val="00D86047"/>
    <w:rsid w:val="00D95D6B"/>
    <w:rsid w:val="00DA6C12"/>
    <w:rsid w:val="00DE5146"/>
    <w:rsid w:val="00DF2FBF"/>
    <w:rsid w:val="00E575AF"/>
    <w:rsid w:val="00E61736"/>
    <w:rsid w:val="00E7566B"/>
    <w:rsid w:val="00EA4616"/>
    <w:rsid w:val="00EE5921"/>
    <w:rsid w:val="00F05756"/>
    <w:rsid w:val="00F41157"/>
    <w:rsid w:val="00F41C11"/>
    <w:rsid w:val="00F5193F"/>
    <w:rsid w:val="00F66825"/>
    <w:rsid w:val="00FB3270"/>
    <w:rsid w:val="0AA02B34"/>
    <w:rsid w:val="145DDC06"/>
    <w:rsid w:val="1AE30756"/>
    <w:rsid w:val="1F8D6634"/>
    <w:rsid w:val="207C96FC"/>
    <w:rsid w:val="301077A3"/>
    <w:rsid w:val="30A8A375"/>
    <w:rsid w:val="341139C7"/>
    <w:rsid w:val="370F4FAD"/>
    <w:rsid w:val="38EC10AE"/>
    <w:rsid w:val="3E106578"/>
    <w:rsid w:val="42F51039"/>
    <w:rsid w:val="4388DF0C"/>
    <w:rsid w:val="4C9D2FD7"/>
    <w:rsid w:val="4DC79EA7"/>
    <w:rsid w:val="5DEBE129"/>
    <w:rsid w:val="5DFB7281"/>
    <w:rsid w:val="6407A84A"/>
    <w:rsid w:val="6C8F65A7"/>
    <w:rsid w:val="743DBABA"/>
    <w:rsid w:val="774C1B7E"/>
    <w:rsid w:val="77A6A9EF"/>
    <w:rsid w:val="79FE54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04FD8"/>
  <w15:chartTrackingRefBased/>
  <w15:docId w15:val="{D745E40B-03CB-45CA-A742-9217D56BE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sz w:val="18"/>
    </w:rPr>
  </w:style>
  <w:style w:type="paragraph" w:styleId="Heading1">
    <w:name w:val="heading 1"/>
    <w:basedOn w:val="Normal"/>
    <w:next w:val="Normal"/>
    <w:link w:val="Heading1Char"/>
    <w:uiPriority w:val="9"/>
    <w:qFormat/>
    <w:rsid w:val="00827C87"/>
    <w:pPr>
      <w:keepNext/>
      <w:keepLines/>
      <w:spacing w:before="140" w:after="60"/>
      <w:outlineLvl w:val="0"/>
    </w:pPr>
    <w:rPr>
      <w:rFonts w:asciiTheme="majorHAnsi" w:eastAsiaTheme="majorEastAsia" w:hAnsiTheme="majorHAnsi" w:cstheme="majorBidi"/>
      <w:b/>
      <w:color w:val="1F374E"/>
      <w:sz w:val="21"/>
      <w:szCs w:val="40"/>
    </w:rPr>
  </w:style>
  <w:style w:type="paragraph" w:styleId="Heading2">
    <w:name w:val="heading 2"/>
    <w:basedOn w:val="Normal"/>
    <w:next w:val="Normal"/>
    <w:link w:val="Heading2Char"/>
    <w:uiPriority w:val="9"/>
    <w:unhideWhenUsed/>
    <w:qFormat/>
    <w:rsid w:val="00827C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27C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27C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27C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27C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827C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827C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827C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C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27C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27C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27C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27C87"/>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27C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827C87"/>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827C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827C87"/>
    <w:rPr>
      <w:rFonts w:eastAsiaTheme="majorEastAsia" w:cstheme="majorBidi"/>
      <w:color w:val="272727" w:themeColor="text1" w:themeTint="D8"/>
    </w:rPr>
  </w:style>
  <w:style w:type="paragraph" w:styleId="Title">
    <w:name w:val="Title"/>
    <w:basedOn w:val="Normal"/>
    <w:next w:val="Normal"/>
    <w:link w:val="TitleChar"/>
    <w:uiPriority w:val="10"/>
    <w:qFormat/>
    <w:rsid w:val="00827C87"/>
    <w:pPr>
      <w:spacing w:after="40" w:line="240" w:lineRule="auto"/>
      <w:contextualSpacing/>
    </w:pPr>
    <w:rPr>
      <w:rFonts w:asciiTheme="majorHAnsi" w:eastAsiaTheme="majorEastAsia" w:hAnsiTheme="majorHAnsi" w:cstheme="majorBidi"/>
      <w:b/>
      <w:color w:val="1F374E"/>
      <w:spacing w:val="-10"/>
      <w:kern w:val="28"/>
      <w:sz w:val="40"/>
      <w:szCs w:val="56"/>
    </w:rPr>
  </w:style>
  <w:style w:type="character" w:customStyle="1" w:styleId="TitleChar">
    <w:name w:val="Title Char"/>
    <w:basedOn w:val="DefaultParagraphFont"/>
    <w:link w:val="Title"/>
    <w:uiPriority w:val="10"/>
    <w:rsid w:val="00827C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7C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7C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7C87"/>
    <w:pPr>
      <w:spacing w:before="160"/>
      <w:jc w:val="center"/>
    </w:pPr>
    <w:rPr>
      <w:i/>
      <w:iCs/>
      <w:color w:val="404040" w:themeColor="text1" w:themeTint="BF"/>
    </w:rPr>
  </w:style>
  <w:style w:type="character" w:customStyle="1" w:styleId="QuoteChar">
    <w:name w:val="Quote Char"/>
    <w:basedOn w:val="DefaultParagraphFont"/>
    <w:link w:val="Quote"/>
    <w:uiPriority w:val="29"/>
    <w:rsid w:val="00827C87"/>
    <w:rPr>
      <w:i/>
      <w:iCs/>
      <w:color w:val="404040" w:themeColor="text1" w:themeTint="BF"/>
    </w:rPr>
  </w:style>
  <w:style w:type="paragraph" w:styleId="ListParagraph">
    <w:name w:val="List Paragraph"/>
    <w:basedOn w:val="Normal"/>
    <w:uiPriority w:val="34"/>
    <w:qFormat/>
    <w:rsid w:val="00827C87"/>
    <w:pPr>
      <w:ind w:left="720"/>
      <w:contextualSpacing/>
    </w:pPr>
  </w:style>
  <w:style w:type="character" w:styleId="IntenseEmphasis">
    <w:name w:val="Intense Emphasis"/>
    <w:basedOn w:val="DefaultParagraphFont"/>
    <w:uiPriority w:val="21"/>
    <w:qFormat/>
    <w:rsid w:val="00827C87"/>
    <w:rPr>
      <w:i/>
      <w:iCs/>
      <w:color w:val="0F4761" w:themeColor="accent1" w:themeShade="BF"/>
    </w:rPr>
  </w:style>
  <w:style w:type="paragraph" w:styleId="IntenseQuote">
    <w:name w:val="Intense Quote"/>
    <w:basedOn w:val="Normal"/>
    <w:next w:val="Normal"/>
    <w:link w:val="IntenseQuoteChar"/>
    <w:uiPriority w:val="30"/>
    <w:qFormat/>
    <w:rsid w:val="00827C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7C87"/>
    <w:rPr>
      <w:i/>
      <w:iCs/>
      <w:color w:val="0F4761" w:themeColor="accent1" w:themeShade="BF"/>
    </w:rPr>
  </w:style>
  <w:style w:type="character" w:styleId="IntenseReference">
    <w:name w:val="Intense Reference"/>
    <w:basedOn w:val="DefaultParagraphFont"/>
    <w:uiPriority w:val="32"/>
    <w:qFormat/>
    <w:rsid w:val="00827C87"/>
    <w:rPr>
      <w:b/>
      <w:bCs/>
      <w:smallCaps/>
      <w:color w:val="0F4761" w:themeColor="accent1" w:themeShade="BF"/>
      <w:spacing w:val="5"/>
    </w:rPr>
  </w:style>
  <w:style w:type="paragraph" w:styleId="BalloonText">
    <w:name w:val="Balloon Text"/>
    <w:basedOn w:val="Normal"/>
    <w:link w:val="BalloonTextChar"/>
    <w:uiPriority w:val="99"/>
    <w:unhideWhenUsed/>
    <w:rsid w:val="00827C87"/>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rsid w:val="00827C87"/>
    <w:rPr>
      <w:rFonts w:ascii="Segoe UI" w:hAnsi="Segoe UI" w:cs="Segoe UI"/>
      <w:sz w:val="18"/>
      <w:szCs w:val="18"/>
    </w:rPr>
  </w:style>
  <w:style w:type="paragraph" w:styleId="Bibliography">
    <w:name w:val="Bibliography"/>
    <w:basedOn w:val="Normal"/>
    <w:next w:val="Normal"/>
    <w:uiPriority w:val="37"/>
    <w:unhideWhenUsed/>
    <w:rsid w:val="00827C87"/>
  </w:style>
  <w:style w:type="paragraph" w:styleId="BlockText">
    <w:name w:val="Block Text"/>
    <w:basedOn w:val="Normal"/>
    <w:uiPriority w:val="99"/>
    <w:unhideWhenUsed/>
    <w:rsid w:val="00827C87"/>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i/>
      <w:iCs/>
      <w:color w:val="156082" w:themeColor="accent1"/>
    </w:rPr>
  </w:style>
  <w:style w:type="paragraph" w:styleId="BodyText">
    <w:name w:val="Body Text"/>
    <w:basedOn w:val="Normal"/>
    <w:link w:val="BodyTextChar"/>
    <w:uiPriority w:val="99"/>
    <w:unhideWhenUsed/>
    <w:rsid w:val="00827C87"/>
    <w:pPr>
      <w:spacing w:after="120"/>
    </w:pPr>
  </w:style>
  <w:style w:type="character" w:customStyle="1" w:styleId="BodyTextChar">
    <w:name w:val="Body Text Char"/>
    <w:basedOn w:val="DefaultParagraphFont"/>
    <w:link w:val="BodyText"/>
    <w:uiPriority w:val="99"/>
    <w:rsid w:val="00827C87"/>
  </w:style>
  <w:style w:type="paragraph" w:styleId="BodyText2">
    <w:name w:val="Body Text 2"/>
    <w:basedOn w:val="Normal"/>
    <w:link w:val="BodyText2Char"/>
    <w:uiPriority w:val="99"/>
    <w:unhideWhenUsed/>
    <w:rsid w:val="00827C87"/>
    <w:pPr>
      <w:spacing w:after="120" w:line="480" w:lineRule="auto"/>
    </w:pPr>
  </w:style>
  <w:style w:type="character" w:customStyle="1" w:styleId="BodyText2Char">
    <w:name w:val="Body Text 2 Char"/>
    <w:basedOn w:val="DefaultParagraphFont"/>
    <w:link w:val="BodyText2"/>
    <w:uiPriority w:val="99"/>
    <w:rsid w:val="00827C87"/>
  </w:style>
  <w:style w:type="paragraph" w:styleId="BodyText3">
    <w:name w:val="Body Text 3"/>
    <w:basedOn w:val="Normal"/>
    <w:link w:val="BodyText3Char"/>
    <w:uiPriority w:val="99"/>
    <w:unhideWhenUsed/>
    <w:rsid w:val="00827C87"/>
    <w:pPr>
      <w:spacing w:after="120"/>
    </w:pPr>
    <w:rPr>
      <w:sz w:val="16"/>
      <w:szCs w:val="16"/>
    </w:rPr>
  </w:style>
  <w:style w:type="character" w:customStyle="1" w:styleId="BodyText3Char">
    <w:name w:val="Body Text 3 Char"/>
    <w:basedOn w:val="DefaultParagraphFont"/>
    <w:link w:val="BodyText3"/>
    <w:uiPriority w:val="99"/>
    <w:rsid w:val="00827C87"/>
    <w:rPr>
      <w:sz w:val="16"/>
      <w:szCs w:val="16"/>
    </w:rPr>
  </w:style>
  <w:style w:type="paragraph" w:styleId="BodyTextFirstIndent">
    <w:name w:val="Body Text First Indent"/>
    <w:basedOn w:val="BodyText"/>
    <w:link w:val="BodyTextFirstIndentChar"/>
    <w:uiPriority w:val="99"/>
    <w:unhideWhenUsed/>
    <w:rsid w:val="00827C87"/>
    <w:pPr>
      <w:spacing w:after="160"/>
      <w:ind w:firstLine="360"/>
    </w:pPr>
  </w:style>
  <w:style w:type="character" w:customStyle="1" w:styleId="BodyTextFirstIndentChar">
    <w:name w:val="Body Text First Indent Char"/>
    <w:basedOn w:val="BodyTextChar"/>
    <w:link w:val="BodyTextFirstIndent"/>
    <w:uiPriority w:val="99"/>
    <w:rsid w:val="00827C87"/>
  </w:style>
  <w:style w:type="paragraph" w:styleId="BodyTextIndent">
    <w:name w:val="Body Text Indent"/>
    <w:basedOn w:val="Normal"/>
    <w:link w:val="BodyTextIndentChar"/>
    <w:uiPriority w:val="99"/>
    <w:unhideWhenUsed/>
    <w:rsid w:val="00827C87"/>
    <w:pPr>
      <w:spacing w:after="120"/>
      <w:ind w:left="360"/>
    </w:pPr>
  </w:style>
  <w:style w:type="character" w:customStyle="1" w:styleId="BodyTextIndentChar">
    <w:name w:val="Body Text Indent Char"/>
    <w:basedOn w:val="DefaultParagraphFont"/>
    <w:link w:val="BodyTextIndent"/>
    <w:uiPriority w:val="99"/>
    <w:rsid w:val="00827C87"/>
  </w:style>
  <w:style w:type="paragraph" w:styleId="BodyTextFirstIndent2">
    <w:name w:val="Body Text First Indent 2"/>
    <w:basedOn w:val="BodyTextIndent"/>
    <w:link w:val="BodyTextFirstIndent2Char"/>
    <w:uiPriority w:val="99"/>
    <w:unhideWhenUsed/>
    <w:rsid w:val="00827C87"/>
    <w:pPr>
      <w:spacing w:after="160"/>
      <w:ind w:firstLine="360"/>
    </w:pPr>
  </w:style>
  <w:style w:type="character" w:customStyle="1" w:styleId="BodyTextFirstIndent2Char">
    <w:name w:val="Body Text First Indent 2 Char"/>
    <w:basedOn w:val="BodyTextIndentChar"/>
    <w:link w:val="BodyTextFirstIndent2"/>
    <w:uiPriority w:val="99"/>
    <w:rsid w:val="00827C87"/>
  </w:style>
  <w:style w:type="paragraph" w:styleId="BodyTextIndent2">
    <w:name w:val="Body Text Indent 2"/>
    <w:basedOn w:val="Normal"/>
    <w:link w:val="BodyTextIndent2Char"/>
    <w:uiPriority w:val="99"/>
    <w:unhideWhenUsed/>
    <w:rsid w:val="00827C87"/>
    <w:pPr>
      <w:spacing w:after="120" w:line="480" w:lineRule="auto"/>
      <w:ind w:left="360"/>
    </w:pPr>
  </w:style>
  <w:style w:type="character" w:customStyle="1" w:styleId="BodyTextIndent2Char">
    <w:name w:val="Body Text Indent 2 Char"/>
    <w:basedOn w:val="DefaultParagraphFont"/>
    <w:link w:val="BodyTextIndent2"/>
    <w:uiPriority w:val="99"/>
    <w:rsid w:val="00827C87"/>
  </w:style>
  <w:style w:type="paragraph" w:styleId="BodyTextIndent3">
    <w:name w:val="Body Text Indent 3"/>
    <w:basedOn w:val="Normal"/>
    <w:link w:val="BodyTextIndent3Char"/>
    <w:uiPriority w:val="99"/>
    <w:unhideWhenUsed/>
    <w:rsid w:val="00827C87"/>
    <w:pPr>
      <w:spacing w:after="120"/>
      <w:ind w:left="360"/>
    </w:pPr>
    <w:rPr>
      <w:sz w:val="16"/>
      <w:szCs w:val="16"/>
    </w:rPr>
  </w:style>
  <w:style w:type="character" w:customStyle="1" w:styleId="BodyTextIndent3Char">
    <w:name w:val="Body Text Indent 3 Char"/>
    <w:basedOn w:val="DefaultParagraphFont"/>
    <w:link w:val="BodyTextIndent3"/>
    <w:uiPriority w:val="99"/>
    <w:rsid w:val="00827C87"/>
    <w:rPr>
      <w:sz w:val="16"/>
      <w:szCs w:val="16"/>
    </w:rPr>
  </w:style>
  <w:style w:type="paragraph" w:styleId="Caption">
    <w:name w:val="caption"/>
    <w:basedOn w:val="Normal"/>
    <w:next w:val="Normal"/>
    <w:uiPriority w:val="35"/>
    <w:unhideWhenUsed/>
    <w:qFormat/>
    <w:rsid w:val="00827C87"/>
    <w:pPr>
      <w:spacing w:after="200" w:line="240" w:lineRule="auto"/>
    </w:pPr>
    <w:rPr>
      <w:i/>
      <w:iCs/>
      <w:color w:val="0E2841" w:themeColor="text2"/>
      <w:szCs w:val="18"/>
    </w:rPr>
  </w:style>
  <w:style w:type="paragraph" w:styleId="Closing">
    <w:name w:val="Closing"/>
    <w:basedOn w:val="Normal"/>
    <w:link w:val="ClosingChar"/>
    <w:uiPriority w:val="99"/>
    <w:unhideWhenUsed/>
    <w:rsid w:val="00827C87"/>
    <w:pPr>
      <w:spacing w:after="0" w:line="240" w:lineRule="auto"/>
      <w:ind w:left="4320"/>
    </w:pPr>
  </w:style>
  <w:style w:type="character" w:customStyle="1" w:styleId="ClosingChar">
    <w:name w:val="Closing Char"/>
    <w:basedOn w:val="DefaultParagraphFont"/>
    <w:link w:val="Closing"/>
    <w:uiPriority w:val="99"/>
    <w:rsid w:val="00827C87"/>
  </w:style>
  <w:style w:type="paragraph" w:styleId="CommentText">
    <w:name w:val="annotation text"/>
    <w:basedOn w:val="Normal"/>
    <w:link w:val="CommentTextChar"/>
    <w:uiPriority w:val="99"/>
    <w:unhideWhenUsed/>
    <w:rsid w:val="00827C87"/>
    <w:pPr>
      <w:spacing w:line="240" w:lineRule="auto"/>
    </w:pPr>
    <w:rPr>
      <w:sz w:val="20"/>
      <w:szCs w:val="20"/>
    </w:rPr>
  </w:style>
  <w:style w:type="character" w:customStyle="1" w:styleId="CommentTextChar">
    <w:name w:val="Comment Text Char"/>
    <w:basedOn w:val="DefaultParagraphFont"/>
    <w:link w:val="CommentText"/>
    <w:uiPriority w:val="99"/>
    <w:rsid w:val="00827C87"/>
    <w:rPr>
      <w:sz w:val="20"/>
      <w:szCs w:val="20"/>
    </w:rPr>
  </w:style>
  <w:style w:type="paragraph" w:styleId="CommentSubject">
    <w:name w:val="annotation subject"/>
    <w:basedOn w:val="CommentText"/>
    <w:next w:val="CommentText"/>
    <w:link w:val="CommentSubjectChar"/>
    <w:uiPriority w:val="99"/>
    <w:unhideWhenUsed/>
    <w:rsid w:val="00827C87"/>
    <w:rPr>
      <w:b/>
      <w:bCs/>
    </w:rPr>
  </w:style>
  <w:style w:type="character" w:customStyle="1" w:styleId="CommentSubjectChar">
    <w:name w:val="Comment Subject Char"/>
    <w:basedOn w:val="CommentTextChar"/>
    <w:link w:val="CommentSubject"/>
    <w:uiPriority w:val="99"/>
    <w:rsid w:val="00827C87"/>
    <w:rPr>
      <w:b/>
      <w:bCs/>
      <w:sz w:val="20"/>
      <w:szCs w:val="20"/>
    </w:rPr>
  </w:style>
  <w:style w:type="paragraph" w:styleId="Date">
    <w:name w:val="Date"/>
    <w:basedOn w:val="Normal"/>
    <w:next w:val="Normal"/>
    <w:link w:val="DateChar"/>
    <w:uiPriority w:val="99"/>
    <w:unhideWhenUsed/>
    <w:rsid w:val="00827C87"/>
  </w:style>
  <w:style w:type="character" w:customStyle="1" w:styleId="DateChar">
    <w:name w:val="Date Char"/>
    <w:basedOn w:val="DefaultParagraphFont"/>
    <w:link w:val="Date"/>
    <w:uiPriority w:val="99"/>
    <w:rsid w:val="00827C87"/>
  </w:style>
  <w:style w:type="paragraph" w:styleId="DocumentMap">
    <w:name w:val="Document Map"/>
    <w:basedOn w:val="Normal"/>
    <w:link w:val="DocumentMapChar"/>
    <w:uiPriority w:val="99"/>
    <w:unhideWhenUsed/>
    <w:rsid w:val="00827C87"/>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rsid w:val="00827C87"/>
    <w:rPr>
      <w:rFonts w:ascii="Segoe UI" w:hAnsi="Segoe UI" w:cs="Segoe UI"/>
      <w:sz w:val="16"/>
      <w:szCs w:val="16"/>
    </w:rPr>
  </w:style>
  <w:style w:type="paragraph" w:styleId="E-mailSignature">
    <w:name w:val="E-mail Signature"/>
    <w:basedOn w:val="Normal"/>
    <w:link w:val="E-mailSignatureChar"/>
    <w:uiPriority w:val="99"/>
    <w:unhideWhenUsed/>
    <w:rsid w:val="00827C87"/>
    <w:pPr>
      <w:spacing w:after="0" w:line="240" w:lineRule="auto"/>
    </w:pPr>
  </w:style>
  <w:style w:type="character" w:customStyle="1" w:styleId="E-mailSignatureChar">
    <w:name w:val="E-mail Signature Char"/>
    <w:basedOn w:val="DefaultParagraphFont"/>
    <w:link w:val="E-mailSignature"/>
    <w:uiPriority w:val="99"/>
    <w:rsid w:val="00827C87"/>
  </w:style>
  <w:style w:type="paragraph" w:styleId="EndnoteText">
    <w:name w:val="endnote text"/>
    <w:basedOn w:val="Normal"/>
    <w:link w:val="EndnoteTextChar"/>
    <w:uiPriority w:val="99"/>
    <w:unhideWhenUsed/>
    <w:rsid w:val="00827C87"/>
    <w:pPr>
      <w:spacing w:after="0" w:line="240" w:lineRule="auto"/>
    </w:pPr>
    <w:rPr>
      <w:sz w:val="20"/>
      <w:szCs w:val="20"/>
    </w:rPr>
  </w:style>
  <w:style w:type="character" w:customStyle="1" w:styleId="EndnoteTextChar">
    <w:name w:val="Endnote Text Char"/>
    <w:basedOn w:val="DefaultParagraphFont"/>
    <w:link w:val="EndnoteText"/>
    <w:uiPriority w:val="99"/>
    <w:rsid w:val="00827C87"/>
    <w:rPr>
      <w:sz w:val="20"/>
      <w:szCs w:val="20"/>
    </w:rPr>
  </w:style>
  <w:style w:type="paragraph" w:styleId="EnvelopeAddress">
    <w:name w:val="envelope address"/>
    <w:basedOn w:val="Normal"/>
    <w:uiPriority w:val="99"/>
    <w:unhideWhenUsed/>
    <w:rsid w:val="00827C87"/>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unhideWhenUsed/>
    <w:rsid w:val="00827C87"/>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827C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C87"/>
  </w:style>
  <w:style w:type="paragraph" w:styleId="FootnoteText">
    <w:name w:val="footnote text"/>
    <w:basedOn w:val="Normal"/>
    <w:link w:val="FootnoteTextChar"/>
    <w:uiPriority w:val="99"/>
    <w:unhideWhenUsed/>
    <w:rsid w:val="00827C87"/>
    <w:pPr>
      <w:spacing w:after="0" w:line="240" w:lineRule="auto"/>
    </w:pPr>
    <w:rPr>
      <w:sz w:val="20"/>
      <w:szCs w:val="20"/>
    </w:rPr>
  </w:style>
  <w:style w:type="character" w:customStyle="1" w:styleId="FootnoteTextChar">
    <w:name w:val="Footnote Text Char"/>
    <w:basedOn w:val="DefaultParagraphFont"/>
    <w:link w:val="FootnoteText"/>
    <w:uiPriority w:val="99"/>
    <w:rsid w:val="00827C87"/>
    <w:rPr>
      <w:sz w:val="20"/>
      <w:szCs w:val="20"/>
    </w:rPr>
  </w:style>
  <w:style w:type="paragraph" w:styleId="Header">
    <w:name w:val="header"/>
    <w:basedOn w:val="Normal"/>
    <w:link w:val="HeaderChar"/>
    <w:uiPriority w:val="99"/>
    <w:unhideWhenUsed/>
    <w:rsid w:val="00827C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C87"/>
  </w:style>
  <w:style w:type="paragraph" w:styleId="HTMLAddress">
    <w:name w:val="HTML Address"/>
    <w:basedOn w:val="Normal"/>
    <w:link w:val="HTMLAddressChar"/>
    <w:uiPriority w:val="99"/>
    <w:unhideWhenUsed/>
    <w:rsid w:val="00827C87"/>
    <w:pPr>
      <w:spacing w:after="0" w:line="240" w:lineRule="auto"/>
    </w:pPr>
    <w:rPr>
      <w:i/>
      <w:iCs/>
    </w:rPr>
  </w:style>
  <w:style w:type="character" w:customStyle="1" w:styleId="HTMLAddressChar">
    <w:name w:val="HTML Address Char"/>
    <w:basedOn w:val="DefaultParagraphFont"/>
    <w:link w:val="HTMLAddress"/>
    <w:uiPriority w:val="99"/>
    <w:rsid w:val="00827C87"/>
    <w:rPr>
      <w:i/>
      <w:iCs/>
    </w:rPr>
  </w:style>
  <w:style w:type="paragraph" w:styleId="HTMLPreformatted">
    <w:name w:val="HTML Preformatted"/>
    <w:basedOn w:val="Normal"/>
    <w:link w:val="HTMLPreformattedChar"/>
    <w:uiPriority w:val="99"/>
    <w:unhideWhenUsed/>
    <w:rsid w:val="00827C8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827C87"/>
    <w:rPr>
      <w:rFonts w:ascii="Consolas" w:hAnsi="Consolas"/>
      <w:sz w:val="20"/>
      <w:szCs w:val="20"/>
    </w:rPr>
  </w:style>
  <w:style w:type="paragraph" w:styleId="Index1">
    <w:name w:val="index 1"/>
    <w:basedOn w:val="Normal"/>
    <w:next w:val="Normal"/>
    <w:autoRedefine/>
    <w:uiPriority w:val="99"/>
    <w:unhideWhenUsed/>
    <w:rsid w:val="00827C87"/>
    <w:pPr>
      <w:spacing w:after="0" w:line="240" w:lineRule="auto"/>
      <w:ind w:left="240" w:hanging="240"/>
    </w:pPr>
  </w:style>
  <w:style w:type="paragraph" w:styleId="Index2">
    <w:name w:val="index 2"/>
    <w:basedOn w:val="Normal"/>
    <w:next w:val="Normal"/>
    <w:autoRedefine/>
    <w:uiPriority w:val="99"/>
    <w:unhideWhenUsed/>
    <w:rsid w:val="00827C87"/>
    <w:pPr>
      <w:spacing w:after="0" w:line="240" w:lineRule="auto"/>
      <w:ind w:left="480" w:hanging="240"/>
    </w:pPr>
  </w:style>
  <w:style w:type="paragraph" w:styleId="Index3">
    <w:name w:val="index 3"/>
    <w:basedOn w:val="Normal"/>
    <w:next w:val="Normal"/>
    <w:autoRedefine/>
    <w:uiPriority w:val="99"/>
    <w:unhideWhenUsed/>
    <w:rsid w:val="00827C87"/>
    <w:pPr>
      <w:spacing w:after="0" w:line="240" w:lineRule="auto"/>
      <w:ind w:left="720" w:hanging="240"/>
    </w:pPr>
  </w:style>
  <w:style w:type="paragraph" w:styleId="Index4">
    <w:name w:val="index 4"/>
    <w:basedOn w:val="Normal"/>
    <w:next w:val="Normal"/>
    <w:autoRedefine/>
    <w:uiPriority w:val="99"/>
    <w:unhideWhenUsed/>
    <w:rsid w:val="00827C87"/>
    <w:pPr>
      <w:spacing w:after="0" w:line="240" w:lineRule="auto"/>
      <w:ind w:left="960" w:hanging="240"/>
    </w:pPr>
  </w:style>
  <w:style w:type="paragraph" w:styleId="Index5">
    <w:name w:val="index 5"/>
    <w:basedOn w:val="Normal"/>
    <w:next w:val="Normal"/>
    <w:autoRedefine/>
    <w:uiPriority w:val="99"/>
    <w:unhideWhenUsed/>
    <w:rsid w:val="00827C87"/>
    <w:pPr>
      <w:spacing w:after="0" w:line="240" w:lineRule="auto"/>
      <w:ind w:left="1200" w:hanging="240"/>
    </w:pPr>
  </w:style>
  <w:style w:type="paragraph" w:styleId="Index6">
    <w:name w:val="index 6"/>
    <w:basedOn w:val="Normal"/>
    <w:next w:val="Normal"/>
    <w:autoRedefine/>
    <w:uiPriority w:val="99"/>
    <w:unhideWhenUsed/>
    <w:rsid w:val="00827C87"/>
    <w:pPr>
      <w:spacing w:after="0" w:line="240" w:lineRule="auto"/>
      <w:ind w:left="1440" w:hanging="240"/>
    </w:pPr>
  </w:style>
  <w:style w:type="paragraph" w:styleId="Index7">
    <w:name w:val="index 7"/>
    <w:basedOn w:val="Normal"/>
    <w:next w:val="Normal"/>
    <w:autoRedefine/>
    <w:uiPriority w:val="99"/>
    <w:unhideWhenUsed/>
    <w:rsid w:val="00827C87"/>
    <w:pPr>
      <w:spacing w:after="0" w:line="240" w:lineRule="auto"/>
      <w:ind w:left="1680" w:hanging="240"/>
    </w:pPr>
  </w:style>
  <w:style w:type="paragraph" w:styleId="Index8">
    <w:name w:val="index 8"/>
    <w:basedOn w:val="Normal"/>
    <w:next w:val="Normal"/>
    <w:autoRedefine/>
    <w:uiPriority w:val="99"/>
    <w:unhideWhenUsed/>
    <w:rsid w:val="00827C87"/>
    <w:pPr>
      <w:spacing w:after="0" w:line="240" w:lineRule="auto"/>
      <w:ind w:left="1920" w:hanging="240"/>
    </w:pPr>
  </w:style>
  <w:style w:type="paragraph" w:styleId="Index9">
    <w:name w:val="index 9"/>
    <w:basedOn w:val="Normal"/>
    <w:next w:val="Normal"/>
    <w:autoRedefine/>
    <w:uiPriority w:val="99"/>
    <w:unhideWhenUsed/>
    <w:rsid w:val="00827C87"/>
    <w:pPr>
      <w:spacing w:after="0" w:line="240" w:lineRule="auto"/>
      <w:ind w:left="2160" w:hanging="240"/>
    </w:pPr>
  </w:style>
  <w:style w:type="paragraph" w:styleId="IndexHeading">
    <w:name w:val="index heading"/>
    <w:basedOn w:val="Normal"/>
    <w:next w:val="Index1"/>
    <w:uiPriority w:val="99"/>
    <w:unhideWhenUsed/>
    <w:rsid w:val="00827C87"/>
    <w:rPr>
      <w:rFonts w:asciiTheme="majorHAnsi" w:eastAsiaTheme="majorEastAsia" w:hAnsiTheme="majorHAnsi" w:cstheme="majorBidi"/>
      <w:b/>
      <w:bCs/>
    </w:rPr>
  </w:style>
  <w:style w:type="paragraph" w:styleId="List">
    <w:name w:val="List"/>
    <w:basedOn w:val="Normal"/>
    <w:uiPriority w:val="99"/>
    <w:unhideWhenUsed/>
    <w:rsid w:val="00827C87"/>
    <w:pPr>
      <w:ind w:left="360" w:hanging="360"/>
      <w:contextualSpacing/>
    </w:pPr>
  </w:style>
  <w:style w:type="paragraph" w:styleId="List2">
    <w:name w:val="List 2"/>
    <w:basedOn w:val="Normal"/>
    <w:uiPriority w:val="99"/>
    <w:unhideWhenUsed/>
    <w:rsid w:val="00827C87"/>
    <w:pPr>
      <w:ind w:left="720" w:hanging="360"/>
      <w:contextualSpacing/>
    </w:pPr>
  </w:style>
  <w:style w:type="paragraph" w:styleId="List3">
    <w:name w:val="List 3"/>
    <w:basedOn w:val="Normal"/>
    <w:uiPriority w:val="99"/>
    <w:unhideWhenUsed/>
    <w:rsid w:val="00827C87"/>
    <w:pPr>
      <w:ind w:left="1080" w:hanging="360"/>
      <w:contextualSpacing/>
    </w:pPr>
  </w:style>
  <w:style w:type="paragraph" w:styleId="List4">
    <w:name w:val="List 4"/>
    <w:basedOn w:val="Normal"/>
    <w:uiPriority w:val="99"/>
    <w:unhideWhenUsed/>
    <w:rsid w:val="00827C87"/>
    <w:pPr>
      <w:ind w:left="1440" w:hanging="360"/>
      <w:contextualSpacing/>
    </w:pPr>
  </w:style>
  <w:style w:type="paragraph" w:styleId="List5">
    <w:name w:val="List 5"/>
    <w:basedOn w:val="Normal"/>
    <w:uiPriority w:val="99"/>
    <w:unhideWhenUsed/>
    <w:rsid w:val="00827C87"/>
    <w:pPr>
      <w:ind w:left="1800" w:hanging="360"/>
      <w:contextualSpacing/>
    </w:pPr>
  </w:style>
  <w:style w:type="paragraph" w:styleId="ListBullet">
    <w:name w:val="List Bullet"/>
    <w:basedOn w:val="Normal"/>
    <w:uiPriority w:val="99"/>
    <w:unhideWhenUsed/>
    <w:rsid w:val="00827C87"/>
    <w:pPr>
      <w:numPr>
        <w:numId w:val="1"/>
      </w:numPr>
      <w:spacing w:after="36" w:line="240" w:lineRule="auto"/>
      <w:ind w:left="259" w:hanging="173"/>
      <w:contextualSpacing/>
    </w:pPr>
    <w:rPr>
      <w:sz w:val="17"/>
    </w:rPr>
  </w:style>
  <w:style w:type="paragraph" w:styleId="ListBullet2">
    <w:name w:val="List Bullet 2"/>
    <w:basedOn w:val="Normal"/>
    <w:uiPriority w:val="99"/>
    <w:unhideWhenUsed/>
    <w:rsid w:val="00827C87"/>
    <w:pPr>
      <w:numPr>
        <w:numId w:val="2"/>
      </w:numPr>
      <w:contextualSpacing/>
    </w:pPr>
  </w:style>
  <w:style w:type="paragraph" w:styleId="ListBullet3">
    <w:name w:val="List Bullet 3"/>
    <w:basedOn w:val="Normal"/>
    <w:uiPriority w:val="99"/>
    <w:unhideWhenUsed/>
    <w:rsid w:val="00827C87"/>
    <w:pPr>
      <w:numPr>
        <w:numId w:val="3"/>
      </w:numPr>
      <w:contextualSpacing/>
    </w:pPr>
  </w:style>
  <w:style w:type="paragraph" w:styleId="ListBullet4">
    <w:name w:val="List Bullet 4"/>
    <w:basedOn w:val="Normal"/>
    <w:uiPriority w:val="99"/>
    <w:unhideWhenUsed/>
    <w:rsid w:val="00827C87"/>
    <w:pPr>
      <w:numPr>
        <w:numId w:val="4"/>
      </w:numPr>
      <w:contextualSpacing/>
    </w:pPr>
  </w:style>
  <w:style w:type="paragraph" w:styleId="ListBullet5">
    <w:name w:val="List Bullet 5"/>
    <w:basedOn w:val="Normal"/>
    <w:uiPriority w:val="99"/>
    <w:unhideWhenUsed/>
    <w:rsid w:val="00827C87"/>
    <w:pPr>
      <w:numPr>
        <w:numId w:val="5"/>
      </w:numPr>
      <w:contextualSpacing/>
    </w:pPr>
  </w:style>
  <w:style w:type="paragraph" w:styleId="ListContinue">
    <w:name w:val="List Continue"/>
    <w:basedOn w:val="Normal"/>
    <w:uiPriority w:val="99"/>
    <w:unhideWhenUsed/>
    <w:rsid w:val="00827C87"/>
    <w:pPr>
      <w:spacing w:after="120"/>
      <w:ind w:left="360"/>
      <w:contextualSpacing/>
    </w:pPr>
  </w:style>
  <w:style w:type="paragraph" w:styleId="ListContinue2">
    <w:name w:val="List Continue 2"/>
    <w:basedOn w:val="Normal"/>
    <w:uiPriority w:val="99"/>
    <w:unhideWhenUsed/>
    <w:rsid w:val="00827C87"/>
    <w:pPr>
      <w:spacing w:after="120"/>
      <w:ind w:left="720"/>
      <w:contextualSpacing/>
    </w:pPr>
  </w:style>
  <w:style w:type="paragraph" w:styleId="ListContinue3">
    <w:name w:val="List Continue 3"/>
    <w:basedOn w:val="Normal"/>
    <w:uiPriority w:val="99"/>
    <w:unhideWhenUsed/>
    <w:rsid w:val="00827C87"/>
    <w:pPr>
      <w:spacing w:after="120"/>
      <w:ind w:left="1080"/>
      <w:contextualSpacing/>
    </w:pPr>
  </w:style>
  <w:style w:type="paragraph" w:styleId="ListContinue4">
    <w:name w:val="List Continue 4"/>
    <w:basedOn w:val="Normal"/>
    <w:uiPriority w:val="99"/>
    <w:unhideWhenUsed/>
    <w:rsid w:val="00827C87"/>
    <w:pPr>
      <w:spacing w:after="120"/>
      <w:ind w:left="1440"/>
      <w:contextualSpacing/>
    </w:pPr>
  </w:style>
  <w:style w:type="paragraph" w:styleId="ListContinue5">
    <w:name w:val="List Continue 5"/>
    <w:basedOn w:val="Normal"/>
    <w:uiPriority w:val="99"/>
    <w:unhideWhenUsed/>
    <w:rsid w:val="00827C87"/>
    <w:pPr>
      <w:spacing w:after="120"/>
      <w:ind w:left="1800"/>
      <w:contextualSpacing/>
    </w:pPr>
  </w:style>
  <w:style w:type="paragraph" w:styleId="ListNumber">
    <w:name w:val="List Number"/>
    <w:basedOn w:val="Normal"/>
    <w:uiPriority w:val="99"/>
    <w:unhideWhenUsed/>
    <w:rsid w:val="00827C87"/>
    <w:pPr>
      <w:numPr>
        <w:numId w:val="6"/>
      </w:numPr>
      <w:contextualSpacing/>
    </w:pPr>
  </w:style>
  <w:style w:type="paragraph" w:styleId="ListNumber2">
    <w:name w:val="List Number 2"/>
    <w:basedOn w:val="Normal"/>
    <w:uiPriority w:val="99"/>
    <w:unhideWhenUsed/>
    <w:rsid w:val="00827C87"/>
    <w:pPr>
      <w:numPr>
        <w:numId w:val="7"/>
      </w:numPr>
      <w:contextualSpacing/>
    </w:pPr>
  </w:style>
  <w:style w:type="paragraph" w:styleId="ListNumber3">
    <w:name w:val="List Number 3"/>
    <w:basedOn w:val="Normal"/>
    <w:uiPriority w:val="99"/>
    <w:unhideWhenUsed/>
    <w:rsid w:val="00827C87"/>
    <w:pPr>
      <w:numPr>
        <w:numId w:val="8"/>
      </w:numPr>
      <w:contextualSpacing/>
    </w:pPr>
  </w:style>
  <w:style w:type="paragraph" w:styleId="ListNumber4">
    <w:name w:val="List Number 4"/>
    <w:basedOn w:val="Normal"/>
    <w:uiPriority w:val="99"/>
    <w:unhideWhenUsed/>
    <w:rsid w:val="00827C87"/>
    <w:pPr>
      <w:numPr>
        <w:numId w:val="9"/>
      </w:numPr>
      <w:contextualSpacing/>
    </w:pPr>
  </w:style>
  <w:style w:type="paragraph" w:styleId="ListNumber5">
    <w:name w:val="List Number 5"/>
    <w:basedOn w:val="Normal"/>
    <w:uiPriority w:val="99"/>
    <w:unhideWhenUsed/>
    <w:rsid w:val="00827C87"/>
    <w:pPr>
      <w:numPr>
        <w:numId w:val="10"/>
      </w:numPr>
      <w:contextualSpacing/>
    </w:pPr>
  </w:style>
  <w:style w:type="paragraph" w:styleId="MacroText">
    <w:name w:val="macro"/>
    <w:link w:val="MacroTextChar"/>
    <w:uiPriority w:val="99"/>
    <w:unhideWhenUsed/>
    <w:rsid w:val="00827C8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rsid w:val="00827C87"/>
    <w:rPr>
      <w:rFonts w:ascii="Consolas" w:hAnsi="Consolas"/>
      <w:sz w:val="20"/>
      <w:szCs w:val="20"/>
    </w:rPr>
  </w:style>
  <w:style w:type="paragraph" w:styleId="MessageHeader">
    <w:name w:val="Message Header"/>
    <w:basedOn w:val="Normal"/>
    <w:link w:val="MessageHeaderChar"/>
    <w:uiPriority w:val="99"/>
    <w:unhideWhenUsed/>
    <w:rsid w:val="00827C8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sid w:val="00827C87"/>
    <w:rPr>
      <w:rFonts w:asciiTheme="majorHAnsi" w:eastAsiaTheme="majorEastAsia" w:hAnsiTheme="majorHAnsi" w:cstheme="majorBidi"/>
      <w:shd w:val="pct20" w:color="auto" w:fill="auto"/>
    </w:rPr>
  </w:style>
  <w:style w:type="paragraph" w:styleId="NoSpacing">
    <w:name w:val="No Spacing"/>
    <w:uiPriority w:val="1"/>
    <w:qFormat/>
    <w:rsid w:val="00827C87"/>
    <w:pPr>
      <w:spacing w:after="0" w:line="240" w:lineRule="auto"/>
    </w:pPr>
  </w:style>
  <w:style w:type="paragraph" w:styleId="NormalWeb">
    <w:name w:val="Normal (Web)"/>
    <w:basedOn w:val="Normal"/>
    <w:uiPriority w:val="99"/>
    <w:unhideWhenUsed/>
    <w:rsid w:val="00827C87"/>
    <w:rPr>
      <w:rFonts w:ascii="Times New Roman" w:hAnsi="Times New Roman" w:cs="Times New Roman"/>
    </w:rPr>
  </w:style>
  <w:style w:type="paragraph" w:styleId="NormalIndent">
    <w:name w:val="Normal Indent"/>
    <w:basedOn w:val="Normal"/>
    <w:uiPriority w:val="99"/>
    <w:unhideWhenUsed/>
    <w:rsid w:val="00827C87"/>
    <w:pPr>
      <w:ind w:left="720"/>
    </w:pPr>
  </w:style>
  <w:style w:type="paragraph" w:styleId="NoteHeading">
    <w:name w:val="Note Heading"/>
    <w:basedOn w:val="Normal"/>
    <w:next w:val="Normal"/>
    <w:link w:val="NoteHeadingChar"/>
    <w:uiPriority w:val="99"/>
    <w:unhideWhenUsed/>
    <w:rsid w:val="00827C87"/>
    <w:pPr>
      <w:spacing w:after="0" w:line="240" w:lineRule="auto"/>
    </w:pPr>
  </w:style>
  <w:style w:type="character" w:customStyle="1" w:styleId="NoteHeadingChar">
    <w:name w:val="Note Heading Char"/>
    <w:basedOn w:val="DefaultParagraphFont"/>
    <w:link w:val="NoteHeading"/>
    <w:uiPriority w:val="99"/>
    <w:rsid w:val="00827C87"/>
  </w:style>
  <w:style w:type="paragraph" w:styleId="PlainText">
    <w:name w:val="Plain Text"/>
    <w:basedOn w:val="Normal"/>
    <w:link w:val="PlainTextChar"/>
    <w:uiPriority w:val="99"/>
    <w:unhideWhenUsed/>
    <w:rsid w:val="00827C8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27C87"/>
    <w:rPr>
      <w:rFonts w:ascii="Consolas" w:hAnsi="Consolas"/>
      <w:sz w:val="21"/>
      <w:szCs w:val="21"/>
    </w:rPr>
  </w:style>
  <w:style w:type="paragraph" w:styleId="Salutation">
    <w:name w:val="Salutation"/>
    <w:basedOn w:val="Normal"/>
    <w:next w:val="Normal"/>
    <w:link w:val="SalutationChar"/>
    <w:uiPriority w:val="99"/>
    <w:unhideWhenUsed/>
    <w:rsid w:val="00827C87"/>
  </w:style>
  <w:style w:type="character" w:customStyle="1" w:styleId="SalutationChar">
    <w:name w:val="Salutation Char"/>
    <w:basedOn w:val="DefaultParagraphFont"/>
    <w:link w:val="Salutation"/>
    <w:uiPriority w:val="99"/>
    <w:rsid w:val="00827C87"/>
  </w:style>
  <w:style w:type="paragraph" w:styleId="Signature">
    <w:name w:val="Signature"/>
    <w:basedOn w:val="Normal"/>
    <w:link w:val="SignatureChar"/>
    <w:uiPriority w:val="99"/>
    <w:unhideWhenUsed/>
    <w:rsid w:val="00827C87"/>
    <w:pPr>
      <w:spacing w:after="0" w:line="240" w:lineRule="auto"/>
      <w:ind w:left="4320"/>
    </w:pPr>
  </w:style>
  <w:style w:type="character" w:customStyle="1" w:styleId="SignatureChar">
    <w:name w:val="Signature Char"/>
    <w:basedOn w:val="DefaultParagraphFont"/>
    <w:link w:val="Signature"/>
    <w:uiPriority w:val="99"/>
    <w:rsid w:val="00827C87"/>
  </w:style>
  <w:style w:type="paragraph" w:styleId="TableofAuthorities">
    <w:name w:val="table of authorities"/>
    <w:basedOn w:val="Normal"/>
    <w:next w:val="Normal"/>
    <w:uiPriority w:val="99"/>
    <w:unhideWhenUsed/>
    <w:rsid w:val="00827C87"/>
    <w:pPr>
      <w:spacing w:after="0"/>
      <w:ind w:left="240" w:hanging="240"/>
    </w:pPr>
  </w:style>
  <w:style w:type="paragraph" w:styleId="TableofFigures">
    <w:name w:val="table of figures"/>
    <w:basedOn w:val="Normal"/>
    <w:next w:val="Normal"/>
    <w:uiPriority w:val="99"/>
    <w:unhideWhenUsed/>
    <w:rsid w:val="00827C87"/>
    <w:pPr>
      <w:spacing w:after="0"/>
    </w:pPr>
  </w:style>
  <w:style w:type="paragraph" w:styleId="TOAHeading">
    <w:name w:val="toa heading"/>
    <w:basedOn w:val="Normal"/>
    <w:next w:val="Normal"/>
    <w:uiPriority w:val="99"/>
    <w:unhideWhenUsed/>
    <w:rsid w:val="00827C87"/>
    <w:pPr>
      <w:spacing w:before="120"/>
    </w:pPr>
    <w:rPr>
      <w:rFonts w:asciiTheme="majorHAnsi" w:eastAsiaTheme="majorEastAsia" w:hAnsiTheme="majorHAnsi" w:cstheme="majorBidi"/>
      <w:b/>
      <w:bCs/>
    </w:rPr>
  </w:style>
  <w:style w:type="paragraph" w:styleId="TOC1">
    <w:name w:val="toc 1"/>
    <w:basedOn w:val="Normal"/>
    <w:next w:val="Normal"/>
    <w:autoRedefine/>
    <w:uiPriority w:val="39"/>
    <w:unhideWhenUsed/>
    <w:rsid w:val="00827C87"/>
    <w:pPr>
      <w:spacing w:after="100"/>
    </w:pPr>
  </w:style>
  <w:style w:type="paragraph" w:styleId="TOC2">
    <w:name w:val="toc 2"/>
    <w:basedOn w:val="Normal"/>
    <w:next w:val="Normal"/>
    <w:autoRedefine/>
    <w:uiPriority w:val="39"/>
    <w:unhideWhenUsed/>
    <w:rsid w:val="00827C87"/>
    <w:pPr>
      <w:spacing w:after="100"/>
      <w:ind w:left="240"/>
    </w:pPr>
  </w:style>
  <w:style w:type="paragraph" w:styleId="TOC3">
    <w:name w:val="toc 3"/>
    <w:basedOn w:val="Normal"/>
    <w:next w:val="Normal"/>
    <w:autoRedefine/>
    <w:uiPriority w:val="39"/>
    <w:unhideWhenUsed/>
    <w:rsid w:val="00827C87"/>
    <w:pPr>
      <w:spacing w:after="100"/>
      <w:ind w:left="480"/>
    </w:pPr>
  </w:style>
  <w:style w:type="paragraph" w:styleId="TOC4">
    <w:name w:val="toc 4"/>
    <w:basedOn w:val="Normal"/>
    <w:next w:val="Normal"/>
    <w:autoRedefine/>
    <w:uiPriority w:val="39"/>
    <w:unhideWhenUsed/>
    <w:rsid w:val="00827C87"/>
    <w:pPr>
      <w:spacing w:after="100"/>
      <w:ind w:left="720"/>
    </w:pPr>
  </w:style>
  <w:style w:type="paragraph" w:styleId="TOC5">
    <w:name w:val="toc 5"/>
    <w:basedOn w:val="Normal"/>
    <w:next w:val="Normal"/>
    <w:autoRedefine/>
    <w:uiPriority w:val="39"/>
    <w:unhideWhenUsed/>
    <w:rsid w:val="00827C87"/>
    <w:pPr>
      <w:spacing w:after="100"/>
      <w:ind w:left="960"/>
    </w:pPr>
  </w:style>
  <w:style w:type="paragraph" w:styleId="TOC6">
    <w:name w:val="toc 6"/>
    <w:basedOn w:val="Normal"/>
    <w:next w:val="Normal"/>
    <w:autoRedefine/>
    <w:uiPriority w:val="39"/>
    <w:unhideWhenUsed/>
    <w:rsid w:val="00827C87"/>
    <w:pPr>
      <w:spacing w:after="100"/>
      <w:ind w:left="1200"/>
    </w:pPr>
  </w:style>
  <w:style w:type="paragraph" w:styleId="TOC7">
    <w:name w:val="toc 7"/>
    <w:basedOn w:val="Normal"/>
    <w:next w:val="Normal"/>
    <w:autoRedefine/>
    <w:uiPriority w:val="39"/>
    <w:unhideWhenUsed/>
    <w:rsid w:val="00827C87"/>
    <w:pPr>
      <w:spacing w:after="100"/>
      <w:ind w:left="1440"/>
    </w:pPr>
  </w:style>
  <w:style w:type="paragraph" w:styleId="TOC8">
    <w:name w:val="toc 8"/>
    <w:basedOn w:val="Normal"/>
    <w:next w:val="Normal"/>
    <w:autoRedefine/>
    <w:uiPriority w:val="39"/>
    <w:unhideWhenUsed/>
    <w:rsid w:val="00827C87"/>
    <w:pPr>
      <w:spacing w:after="100"/>
      <w:ind w:left="1680"/>
    </w:pPr>
  </w:style>
  <w:style w:type="paragraph" w:styleId="TOC9">
    <w:name w:val="toc 9"/>
    <w:basedOn w:val="Normal"/>
    <w:next w:val="Normal"/>
    <w:autoRedefine/>
    <w:uiPriority w:val="39"/>
    <w:unhideWhenUsed/>
    <w:rsid w:val="00827C87"/>
    <w:pPr>
      <w:spacing w:after="100"/>
      <w:ind w:left="1920"/>
    </w:pPr>
  </w:style>
  <w:style w:type="paragraph" w:styleId="TOCHeading">
    <w:name w:val="TOC Heading"/>
    <w:basedOn w:val="Heading1"/>
    <w:next w:val="Normal"/>
    <w:uiPriority w:val="39"/>
    <w:unhideWhenUsed/>
    <w:qFormat/>
    <w:rsid w:val="00827C87"/>
    <w:pPr>
      <w:spacing w:before="240" w:after="0"/>
      <w:outlineLvl w:val="9"/>
    </w:pPr>
    <w:rPr>
      <w:sz w:val="32"/>
      <w:szCs w:val="32"/>
    </w:rPr>
  </w:style>
  <w:style w:type="table" w:styleId="ColorfulGrid">
    <w:name w:val="Colorful Grid"/>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GridTable1Light">
    <w:name w:val="Grid Table 1 Light"/>
    <w:basedOn w:val="TableNormal"/>
    <w:uiPriority w:val="46"/>
    <w:rsid w:val="00827C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27C87"/>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27C87"/>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27C87"/>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27C87"/>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27C87"/>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27C87"/>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27C8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27C87"/>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827C87"/>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827C87"/>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827C87"/>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827C87"/>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827C87"/>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LightGrid">
    <w:name w:val="Light Grid"/>
    <w:basedOn w:val="TableNormal"/>
    <w:uiPriority w:val="62"/>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unhideWhenUsed/>
    <w:rsid w:val="00827C8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unhideWhenUsed/>
    <w:rsid w:val="00827C87"/>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unhideWhenUsed/>
    <w:rsid w:val="00827C87"/>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unhideWhenUsed/>
    <w:rsid w:val="00827C87"/>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unhideWhenUsed/>
    <w:rsid w:val="00827C87"/>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unhideWhenUsed/>
    <w:rsid w:val="00827C87"/>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unhideWhenUsed/>
    <w:rsid w:val="00827C87"/>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Table1Light">
    <w:name w:val="List Table 1 Light"/>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827C8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27C87"/>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827C87"/>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827C87"/>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827C87"/>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827C87"/>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827C87"/>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827C8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27C87"/>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827C87"/>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827C87"/>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827C87"/>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827C87"/>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827C87"/>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827C8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27C87"/>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27C87"/>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27C87"/>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27C87"/>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27C87"/>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27C87"/>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27C8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827C8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27C87"/>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27C87"/>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27C87"/>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27C87"/>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27C87"/>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27C87"/>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rsid w:val="00827C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27C8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27C8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27C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27C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unhideWhenUsed/>
    <w:rsid w:val="00827C8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unhideWhenUsed/>
    <w:rsid w:val="00827C8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unhideWhenUsed/>
    <w:rsid w:val="00827C8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unhideWhenUsed/>
    <w:rsid w:val="00827C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unhideWhenUsed/>
    <w:rsid w:val="00827C8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unhideWhenUsed/>
    <w:rsid w:val="00827C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unhideWhenUsed/>
    <w:rsid w:val="00827C8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unhideWhenUsed/>
    <w:rsid w:val="00827C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unhideWhenUsed/>
    <w:rsid w:val="00827C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unhideWhenUsed/>
    <w:rsid w:val="00827C8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unhideWhenUsed/>
    <w:rsid w:val="00827C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unhideWhenUsed/>
    <w:rsid w:val="00827C8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unhideWhenUsed/>
    <w:rsid w:val="00827C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unhideWhenUsed/>
    <w:rsid w:val="00827C8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unhideWhenUsed/>
    <w:rsid w:val="00827C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827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unhideWhenUsed/>
    <w:rsid w:val="00827C8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unhideWhenUsed/>
    <w:rsid w:val="00827C8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unhideWhenUsed/>
    <w:rsid w:val="00827C8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unhideWhenUsed/>
    <w:rsid w:val="00827C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unhideWhenUsed/>
    <w:rsid w:val="00827C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27C8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unhideWhenUsed/>
    <w:rsid w:val="00827C8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unhideWhenUsed/>
    <w:rsid w:val="00827C8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unhideWhenUsed/>
    <w:rsid w:val="00827C8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unhideWhenUsed/>
    <w:rsid w:val="00827C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unhideWhenUsed/>
    <w:rsid w:val="00827C8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unhideWhenUsed/>
    <w:rsid w:val="00827C8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unhideWhenUsed/>
    <w:rsid w:val="00827C8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unhideWhenUsed/>
    <w:rsid w:val="00827C8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unhideWhenUsed/>
    <w:rsid w:val="00827C8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unhideWhenUsed/>
    <w:rsid w:val="00827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unhideWhenUsed/>
    <w:rsid w:val="00827C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unhideWhenUsed/>
    <w:rsid w:val="00827C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827C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BookTitle">
    <w:name w:val="Book Title"/>
    <w:basedOn w:val="DefaultParagraphFont"/>
    <w:uiPriority w:val="33"/>
    <w:qFormat/>
    <w:rsid w:val="00B22CA0"/>
    <w:rPr>
      <w:b/>
      <w:bCs/>
      <w:i/>
      <w:iCs/>
      <w:spacing w:val="5"/>
    </w:rPr>
  </w:style>
  <w:style w:type="character" w:styleId="Emphasis">
    <w:name w:val="Emphasis"/>
    <w:basedOn w:val="DefaultParagraphFont"/>
    <w:uiPriority w:val="20"/>
    <w:qFormat/>
    <w:rsid w:val="00B22CA0"/>
    <w:rPr>
      <w:i/>
      <w:iCs/>
    </w:rPr>
  </w:style>
  <w:style w:type="character" w:styleId="Strong">
    <w:name w:val="Strong"/>
    <w:basedOn w:val="DefaultParagraphFont"/>
    <w:uiPriority w:val="22"/>
    <w:qFormat/>
    <w:rsid w:val="00B22CA0"/>
    <w:rPr>
      <w:b/>
      <w:bCs/>
    </w:rPr>
  </w:style>
  <w:style w:type="character" w:styleId="SubtleEmphasis">
    <w:name w:val="Subtle Emphasis"/>
    <w:basedOn w:val="DefaultParagraphFont"/>
    <w:uiPriority w:val="19"/>
    <w:qFormat/>
    <w:rsid w:val="00B22CA0"/>
    <w:rPr>
      <w:i/>
      <w:iCs/>
      <w:color w:val="404040" w:themeColor="text1" w:themeTint="BF"/>
    </w:rPr>
  </w:style>
  <w:style w:type="character" w:styleId="SubtleReference">
    <w:name w:val="Subtle Reference"/>
    <w:basedOn w:val="DefaultParagraphFont"/>
    <w:uiPriority w:val="31"/>
    <w:qFormat/>
    <w:rsid w:val="00B22CA0"/>
    <w:rPr>
      <w:smallCaps/>
      <w:color w:val="5A5A5A" w:themeColor="text1" w:themeTint="A5"/>
    </w:rPr>
  </w:style>
  <w:style w:type="paragraph" w:styleId="Revision">
    <w:name w:val="Revision"/>
    <w:hidden/>
    <w:uiPriority w:val="99"/>
    <w:semiHidden/>
    <w:rsid w:val="002807E9"/>
    <w:pPr>
      <w:spacing w:after="0" w:line="240" w:lineRule="auto"/>
    </w:pPr>
    <w:rPr>
      <w:rFonts w:ascii="Arial" w:eastAsia="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624</Words>
  <Characters>4319</Characters>
  <Application>Microsoft Office Word</Application>
  <DocSecurity>0</DocSecurity>
  <Lines>59</Lines>
  <Paragraphs>43</Paragraphs>
  <ScaleCrop>false</ScaleCrop>
  <Company/>
  <LinksUpToDate>false</LinksUpToDate>
  <CharactersWithSpaces>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Shahrzad Azimi Resume — Strategic Operations</dc:title>
  <dc:subject>Strategic operations and business-focused resume</dc:subject>
  <dc:creator>Shahrzad Azimi</dc:creator>
  <cp:keywords/>
  <dc:description/>
  <cp:lastModifiedBy>Shahrzad Azimi</cp:lastModifiedBy>
  <cp:revision>2</cp:revision>
  <cp:lastPrinted>2026-10-12T14:36:00Z</cp:lastPrinted>
  <dcterms:created xsi:type="dcterms:W3CDTF">2026-10-12T14:36:00Z</dcterms:created>
  <dcterms:modified xsi:type="dcterms:W3CDTF">2026-10-12T14:36:00Z</dcterms:modified>
</cp:coreProperties>
</file>