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5FDA2" w14:textId="77777777" w:rsidR="006822E6" w:rsidRPr="00B51C7D" w:rsidRDefault="00B71F42" w:rsidP="004772CE">
      <w:pPr>
        <w:pStyle w:val="Title"/>
        <w:jc w:val="center"/>
        <w:rPr>
          <w:rFonts w:asciiTheme="majorBidi" w:hAnsiTheme="majorBidi"/>
        </w:rPr>
      </w:pPr>
      <w:r w:rsidRPr="00B51C7D">
        <w:rPr>
          <w:rFonts w:asciiTheme="majorBidi" w:hAnsiTheme="majorBidi"/>
        </w:rPr>
        <w:t>SHAHRZAD AZIMI</w:t>
      </w:r>
    </w:p>
    <w:p w14:paraId="31F0153B" w14:textId="77777777" w:rsidR="006822E6" w:rsidRPr="00B51C7D" w:rsidRDefault="743DBABA">
      <w:pPr>
        <w:spacing w:after="100"/>
        <w:jc w:val="center"/>
        <w:rPr>
          <w:rFonts w:asciiTheme="majorBidi" w:hAnsiTheme="majorBidi" w:cstheme="majorBidi"/>
        </w:rPr>
      </w:pPr>
      <w:r w:rsidRPr="00B51C7D">
        <w:rPr>
          <w:rFonts w:asciiTheme="majorBidi" w:hAnsiTheme="majorBidi" w:cstheme="majorBidi"/>
          <w:color w:val="646464"/>
          <w:sz w:val="17"/>
          <w:szCs w:val="17"/>
        </w:rPr>
        <w:t xml:space="preserve">Richardson, TX </w:t>
      </w:r>
      <w:proofErr w:type="gramStart"/>
      <w:r w:rsidRPr="00B51C7D">
        <w:rPr>
          <w:rFonts w:asciiTheme="majorBidi" w:hAnsiTheme="majorBidi" w:cstheme="majorBidi"/>
          <w:color w:val="646464"/>
          <w:sz w:val="17"/>
          <w:szCs w:val="17"/>
        </w:rPr>
        <w:t>75080  |</w:t>
      </w:r>
      <w:proofErr w:type="gramEnd"/>
      <w:r w:rsidRPr="00B51C7D">
        <w:rPr>
          <w:rFonts w:asciiTheme="majorBidi" w:hAnsiTheme="majorBidi" w:cstheme="majorBidi"/>
          <w:color w:val="646464"/>
          <w:sz w:val="17"/>
          <w:szCs w:val="17"/>
        </w:rPr>
        <w:t xml:space="preserve">  (469) 569-</w:t>
      </w:r>
      <w:proofErr w:type="gramStart"/>
      <w:r w:rsidRPr="00B51C7D">
        <w:rPr>
          <w:rFonts w:asciiTheme="majorBidi" w:hAnsiTheme="majorBidi" w:cstheme="majorBidi"/>
          <w:color w:val="646464"/>
          <w:sz w:val="17"/>
          <w:szCs w:val="17"/>
        </w:rPr>
        <w:t>9543  |</w:t>
      </w:r>
      <w:proofErr w:type="gramEnd"/>
      <w:r w:rsidRPr="00B51C7D">
        <w:rPr>
          <w:rFonts w:asciiTheme="majorBidi" w:hAnsiTheme="majorBidi" w:cstheme="majorBidi"/>
          <w:color w:val="646464"/>
          <w:sz w:val="17"/>
          <w:szCs w:val="17"/>
        </w:rPr>
        <w:t xml:space="preserve">  shahrzad92@gmail.com</w:t>
      </w:r>
      <w:r w:rsidRPr="00B51C7D">
        <w:rPr>
          <w:rFonts w:asciiTheme="majorBidi" w:hAnsiTheme="majorBidi" w:cstheme="majorBidi"/>
          <w:color w:val="646464"/>
          <w:sz w:val="17"/>
          <w:szCs w:val="17"/>
        </w:rPr>
        <w:t xml:space="preserve">  |  linkedin.com/in/shahrzad-azimi</w:t>
      </w:r>
    </w:p>
    <w:p w14:paraId="180FBC29" w14:textId="7A670CFA" w:rsidR="00747D7D" w:rsidRPr="00B51C7D" w:rsidRDefault="00747D7D">
      <w:pPr>
        <w:spacing w:after="100"/>
        <w:rPr>
          <w:rFonts w:asciiTheme="majorBidi" w:hAnsiTheme="majorBidi" w:cstheme="majorBidi"/>
          <w:szCs w:val="18"/>
          <w:lang w:eastAsia="en-US"/>
        </w:rPr>
      </w:pPr>
      <w:r w:rsidRPr="00B51C7D">
        <w:rPr>
          <w:rFonts w:asciiTheme="majorBidi" w:hAnsiTheme="majorBidi" w:cstheme="majorBidi"/>
          <w:szCs w:val="18"/>
        </w:rPr>
        <w:t>Strategic operations leader with 10 years across Big Four audit, nonprofit finance, and global program management. Built the planning, reporting, and governance systems behind a 58-country education network and a $20M+ grant portfolio spanning 51 funding streams. Turns complex financial and operational requirements into repeatable processes and clear executive decisions.</w:t>
      </w:r>
    </w:p>
    <w:p w14:paraId="66111683" w14:textId="77777777" w:rsidR="0094382C" w:rsidRPr="00B51C7D" w:rsidRDefault="0094382C" w:rsidP="0094382C">
      <w:pPr>
        <w:pStyle w:val="Heading1"/>
        <w:pBdr>
          <w:bottom w:val="single" w:sz="8" w:space="1" w:color="1F374E"/>
        </w:pBdr>
        <w:rPr>
          <w:rFonts w:asciiTheme="majorBidi" w:hAnsiTheme="majorBidi"/>
          <w:sz w:val="19"/>
          <w:szCs w:val="19"/>
        </w:rPr>
      </w:pPr>
      <w:r w:rsidRPr="00B51C7D">
        <w:rPr>
          <w:rFonts w:asciiTheme="majorBidi" w:hAnsiTheme="majorBidi"/>
          <w:sz w:val="19"/>
          <w:szCs w:val="19"/>
        </w:rPr>
        <w:t>CORE STRENGTHS</w:t>
      </w:r>
    </w:p>
    <w:p w14:paraId="3BAFE5D6" w14:textId="6C001A0F" w:rsidR="0094382C" w:rsidRPr="00B51C7D" w:rsidRDefault="0094382C" w:rsidP="0094382C">
      <w:pPr>
        <w:spacing w:after="80"/>
        <w:jc w:val="center"/>
        <w:rPr>
          <w:rFonts w:asciiTheme="majorBidi" w:hAnsiTheme="majorBidi" w:cstheme="majorBidi"/>
          <w:sz w:val="19"/>
          <w:szCs w:val="19"/>
        </w:rPr>
      </w:pPr>
      <w:r w:rsidRPr="00B51C7D">
        <w:rPr>
          <w:rFonts w:asciiTheme="majorBidi" w:hAnsiTheme="majorBidi" w:cstheme="majorBidi"/>
          <w:sz w:val="19"/>
          <w:szCs w:val="19"/>
        </w:rPr>
        <w:t>Strategic Operations  •  Operating Model Design  •  Financial Governance  •  Budgeting &amp; Forecasting  •  KPI &amp; Performance Management  •  Executive Reporting &amp; Decision Support  •  Grant &amp; Funding Compliance  •  Internal Controls &amp; Audit Readiness  •  Process Improvement  •  Global Stakeholder Management</w:t>
      </w:r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</w:p>
    <w:p w14:paraId="74852975" w14:textId="0E1AF82F" w:rsidR="006822E6" w:rsidRPr="00B51C7D" w:rsidRDefault="00B71F42">
      <w:pPr>
        <w:pStyle w:val="Heading1"/>
        <w:pBdr>
          <w:bottom w:val="single" w:sz="8" w:space="1" w:color="1F374E"/>
        </w:pBdr>
        <w:rPr>
          <w:rFonts w:asciiTheme="majorBidi" w:hAnsiTheme="majorBidi"/>
          <w:sz w:val="19"/>
          <w:szCs w:val="19"/>
        </w:rPr>
      </w:pPr>
      <w:r w:rsidRPr="00B51C7D">
        <w:rPr>
          <w:rFonts w:asciiTheme="majorBidi" w:hAnsiTheme="majorBidi"/>
          <w:sz w:val="19"/>
          <w:szCs w:val="19"/>
        </w:rPr>
        <w:t>EXPERIENCE</w:t>
      </w:r>
    </w:p>
    <w:tbl>
      <w:tblPr>
        <w:tblStyle w:val="TableGrid"/>
        <w:tblW w:w="10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2400"/>
      </w:tblGrid>
      <w:tr w:rsidR="00B22CA0" w:rsidRPr="00B51C7D" w14:paraId="78A26914" w14:textId="77777777" w:rsidTr="00D62C58"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F213257" w14:textId="47E55DCE" w:rsidR="00B22CA0" w:rsidRPr="00B51C7D" w:rsidRDefault="00B22CA0" w:rsidP="00B22CA0">
            <w:pPr>
              <w:spacing w:before="60"/>
              <w:rPr>
                <w:rFonts w:asciiTheme="majorBidi" w:hAnsiTheme="majorBidi" w:cstheme="majorBidi"/>
                <w:sz w:val="19"/>
                <w:szCs w:val="19"/>
                <w:lang w:eastAsia="en-US"/>
              </w:rPr>
            </w:pPr>
            <w:r w:rsidRPr="00B51C7D">
              <w:rPr>
                <w:rFonts w:asciiTheme="majorBidi" w:hAnsiTheme="majorBidi" w:cstheme="majorBidi"/>
                <w:b/>
                <w:bCs/>
                <w:i/>
                <w:iCs/>
                <w:sz w:val="19"/>
                <w:szCs w:val="19"/>
              </w:rPr>
              <w:t>Senior Program Manager</w:t>
            </w:r>
            <w:r w:rsidR="00D62C58" w:rsidRPr="00B51C7D">
              <w:rPr>
                <w:rFonts w:asciiTheme="majorBidi" w:hAnsiTheme="majorBidi" w:cstheme="majorBidi"/>
                <w:b/>
                <w:bCs/>
                <w:i/>
                <w:iCs/>
                <w:sz w:val="19"/>
                <w:szCs w:val="19"/>
              </w:rPr>
              <w:t xml:space="preserve"> (Contract)</w:t>
            </w:r>
            <w:r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, Institute for Studies in Global Prosperity (ISGP), Haifa, Israel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794F5B2" w14:textId="7B883266" w:rsidR="00B22CA0" w:rsidRPr="00B51C7D" w:rsidRDefault="00D62C58" w:rsidP="00D62C58">
            <w:pPr>
              <w:spacing w:before="60"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="00B22CA0"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May 2024 – Present</w:t>
            </w:r>
          </w:p>
        </w:tc>
      </w:tr>
    </w:tbl>
    <w:p w14:paraId="1B132D9A" w14:textId="5E69C10A" w:rsidR="00747D7D" w:rsidRPr="00B51C7D" w:rsidRDefault="00747D7D">
      <w:pPr>
        <w:spacing w:before="20" w:after="40"/>
        <w:rPr>
          <w:rFonts w:asciiTheme="majorBidi" w:hAnsiTheme="majorBidi" w:cstheme="majorBidi"/>
          <w:szCs w:val="18"/>
          <w:lang w:eastAsia="en-US"/>
        </w:rPr>
      </w:pPr>
      <w:r w:rsidRPr="00B51C7D">
        <w:rPr>
          <w:rFonts w:asciiTheme="majorBidi" w:hAnsiTheme="majorBidi" w:cstheme="majorBidi"/>
          <w:color w:val="505050"/>
          <w:szCs w:val="18"/>
        </w:rPr>
        <w:t>Lead strategy and operations for an international education and research institute delivering university-level programs across 99 locations in 58 countries.</w:t>
      </w:r>
    </w:p>
    <w:p w14:paraId="2CA51863" w14:textId="453044B2" w:rsidR="00747D7D" w:rsidRPr="00B51C7D" w:rsidRDefault="00747D7D" w:rsidP="00726B43">
      <w:pPr>
        <w:pStyle w:val="ListBullet"/>
        <w:rPr>
          <w:rFonts w:asciiTheme="majorBidi" w:hAnsiTheme="majorBidi" w:cstheme="majorBidi"/>
          <w:szCs w:val="17"/>
          <w:lang w:eastAsia="en-US"/>
        </w:rPr>
      </w:pPr>
      <w:r w:rsidRPr="00B51C7D">
        <w:rPr>
          <w:rFonts w:asciiTheme="majorBidi" w:hAnsiTheme="majorBidi" w:cstheme="majorBidi"/>
          <w:szCs w:val="17"/>
        </w:rPr>
        <w:t>Built regional operating frameworks and a consistent set of performance metrics aligned to institutional strategy; key program indicators improved 40% across the global network.</w:t>
      </w:r>
    </w:p>
    <w:p w14:paraId="6B9B6401" w14:textId="77777777" w:rsidR="00D30BCD" w:rsidRPr="00B51C7D" w:rsidRDefault="00D30BCD" w:rsidP="00D30BCD">
      <w:pPr>
        <w:pStyle w:val="ListBullet"/>
        <w:rPr>
          <w:rFonts w:asciiTheme="majorBidi" w:hAnsiTheme="majorBidi" w:cstheme="majorBidi"/>
          <w:szCs w:val="17"/>
          <w:lang w:eastAsia="en-US"/>
        </w:rPr>
      </w:pPr>
      <w:r w:rsidRPr="00B51C7D">
        <w:rPr>
          <w:rFonts w:asciiTheme="majorBidi" w:hAnsiTheme="majorBidi" w:cstheme="majorBidi"/>
          <w:szCs w:val="17"/>
        </w:rPr>
        <w:t>Instituted planning, reporting, and governance processes across 58 countries, enabling leadership to monitor performance, allocate resources, and make data-informed strategic decisions.</w:t>
      </w:r>
    </w:p>
    <w:p w14:paraId="07243C57" w14:textId="1722D763" w:rsidR="00747D7D" w:rsidRPr="00B51C7D" w:rsidRDefault="341139C7" w:rsidP="006C472B">
      <w:pPr>
        <w:pStyle w:val="ListBullet"/>
        <w:rPr>
          <w:rFonts w:asciiTheme="majorBidi" w:hAnsiTheme="majorBidi" w:cstheme="majorBidi"/>
          <w:szCs w:val="17"/>
          <w:lang w:eastAsia="en-US"/>
        </w:rPr>
      </w:pPr>
      <w:r w:rsidRPr="00B51C7D">
        <w:rPr>
          <w:rFonts w:asciiTheme="majorBidi" w:hAnsiTheme="majorBidi" w:cstheme="majorBidi"/>
        </w:rPr>
        <w:t>Standardized reporting and budget-development workflows with shared protocols and built-in quality controls, cutting reporting errors 95% and freeing staff capacity for program delivery.</w:t>
      </w:r>
    </w:p>
    <w:p w14:paraId="17009291" w14:textId="1335B910" w:rsidR="4388DF0C" w:rsidRPr="00B51C7D" w:rsidRDefault="4388DF0C" w:rsidP="4388DF0C">
      <w:pPr>
        <w:pStyle w:val="ListBullet"/>
        <w:rPr>
          <w:rFonts w:asciiTheme="majorBidi" w:hAnsiTheme="majorBidi" w:cstheme="majorBidi"/>
        </w:rPr>
      </w:pPr>
      <w:r w:rsidRPr="00B51C7D">
        <w:rPr>
          <w:rFonts w:asciiTheme="majorBidi" w:eastAsia="Times New Roman" w:hAnsiTheme="majorBidi" w:cstheme="majorBidi"/>
        </w:rPr>
        <w:t>Ran consultant contracting (renewals, milestones, payments) and multilingual delivery standards across regions, keeping operations compliant and content consistent network-wide.</w:t>
      </w:r>
      <w:proofErr w:type="gramStart"/>
      <w:proofErr w:type="gramEnd"/>
    </w:p>
    <w:tbl>
      <w:tblPr>
        <w:tblStyle w:val="TableGrid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80"/>
        <w:gridCol w:w="2400"/>
      </w:tblGrid>
      <w:tr w:rsidR="00B22CA0" w:rsidRPr="00B51C7D" w14:paraId="54C58499" w14:textId="77777777"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6FF05F2" w14:textId="77777777" w:rsidR="00B22CA0" w:rsidRPr="00B51C7D" w:rsidRDefault="00B22CA0">
            <w:pPr>
              <w:spacing w:before="60"/>
              <w:rPr>
                <w:rFonts w:asciiTheme="majorBidi" w:hAnsiTheme="majorBidi" w:cstheme="majorBidi"/>
                <w:sz w:val="19"/>
                <w:szCs w:val="19"/>
                <w:lang w:eastAsia="en-US"/>
              </w:rPr>
            </w:pPr>
            <w:r w:rsidRPr="00B51C7D">
              <w:rPr>
                <w:rFonts w:asciiTheme="majorBidi" w:hAnsiTheme="majorBidi" w:cstheme="majorBidi"/>
                <w:b/>
                <w:bCs/>
                <w:i/>
                <w:iCs/>
                <w:sz w:val="19"/>
                <w:szCs w:val="19"/>
              </w:rPr>
              <w:t>Director of Reporting and Budgets</w:t>
            </w:r>
            <w:r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, Community Council of Greater Dallas, Dallas, TX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093E503" w14:textId="77777777" w:rsidR="00B22CA0" w:rsidRPr="00B51C7D" w:rsidRDefault="00B22CA0">
            <w:pPr>
              <w:spacing w:before="60"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Jul 2022 – Apr 2024</w:t>
            </w:r>
          </w:p>
        </w:tc>
      </w:tr>
    </w:tbl>
    <w:p w14:paraId="0706A37E" w14:textId="2D0475D2" w:rsidR="004772CE" w:rsidRPr="00B51C7D" w:rsidRDefault="00747D7D">
      <w:pPr>
        <w:spacing w:before="20" w:after="40"/>
        <w:rPr>
          <w:rFonts w:asciiTheme="majorBidi" w:hAnsiTheme="majorBidi" w:cstheme="majorBidi"/>
          <w:sz w:val="19"/>
          <w:szCs w:val="19"/>
        </w:rPr>
      </w:pPr>
      <w:r w:rsidRPr="00B51C7D">
        <w:rPr>
          <w:rFonts w:asciiTheme="majorBidi" w:hAnsiTheme="majorBidi" w:cstheme="majorBidi"/>
          <w:color w:val="505050"/>
          <w:szCs w:val="18"/>
        </w:rPr>
        <w:t>Directed budgeting, reporting, compliance, and planning for a Dallas County social-services nonprofit, managing a $20M+ portfolio across 44 grantors and 51 federal, state, and philanthropic funding streams.</w:t>
      </w:r>
    </w:p>
    <w:p w14:paraId="76ADCDD7" w14:textId="4325224E" w:rsidR="00747D7D" w:rsidRPr="00B51C7D" w:rsidRDefault="00747D7D" w:rsidP="00A94CAE">
      <w:pPr>
        <w:pStyle w:val="ListBullet"/>
        <w:rPr>
          <w:rFonts w:asciiTheme="majorBidi" w:hAnsiTheme="majorBidi" w:cstheme="majorBidi"/>
        </w:rPr>
      </w:pPr>
      <w:r w:rsidRPr="00B51C7D">
        <w:rPr>
          <w:rFonts w:asciiTheme="majorBidi" w:hAnsiTheme="majorBidi" w:cstheme="majorBidi"/>
        </w:rPr>
        <w:t>Aligned funding requirements, performance targets, and spending priorities across 7 program directors and the executive team.</w:t>
      </w:r>
    </w:p>
    <w:p w14:paraId="34F736A9" w14:textId="244CC945" w:rsidR="00747D7D" w:rsidRPr="00B51C7D" w:rsidRDefault="00747D7D" w:rsidP="00F5193F">
      <w:pPr>
        <w:pStyle w:val="ListBullet"/>
        <w:rPr>
          <w:rFonts w:asciiTheme="majorBidi" w:hAnsiTheme="majorBidi" w:cstheme="majorBidi"/>
        </w:rPr>
      </w:pPr>
      <w:r w:rsidRPr="00B51C7D">
        <w:rPr>
          <w:rFonts w:asciiTheme="majorBidi" w:hAnsiTheme="majorBidi" w:cstheme="majorBidi"/>
        </w:rPr>
        <w:t>Architected financial-governance protocols, source-specific templates, and layered review procedures that virtually eliminated reporting inaccuracies across all 51 funding streams.</w:t>
      </w:r>
    </w:p>
    <w:p w14:paraId="420ADE8F" w14:textId="0ADB1D6C" w:rsidR="00747D7D" w:rsidRPr="00B51C7D" w:rsidRDefault="006543B7" w:rsidP="006543B7">
      <w:pPr>
        <w:pStyle w:val="ListBullet"/>
        <w:rPr>
          <w:rFonts w:asciiTheme="majorBidi" w:hAnsiTheme="majorBidi" w:cstheme="majorBidi"/>
        </w:rPr>
      </w:pPr>
      <w:proofErr w:type="gramStart"/>
      <w:r w:rsidRPr="00B51C7D">
        <w:rPr>
          <w:rFonts w:asciiTheme="majorBidi" w:hAnsiTheme="majorBidi" w:cstheme="majorBidi"/>
        </w:rPr>
        <w:t>Translated complex grant and financial requirements into clear operating routines with defined ownership, enabling faster, better-informed portfolio decisions.</w:t>
      </w:r>
      <w:proofErr w:type="gramEnd"/>
    </w:p>
    <w:tbl>
      <w:tblPr>
        <w:tblStyle w:val="TableGrid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80"/>
        <w:gridCol w:w="2400"/>
      </w:tblGrid>
      <w:tr w:rsidR="00B22CA0" w:rsidRPr="00B51C7D" w14:paraId="068DA9A2" w14:textId="77777777"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E27A757" w14:textId="77777777" w:rsidR="00B22CA0" w:rsidRPr="00B51C7D" w:rsidRDefault="00B22CA0">
            <w:pPr>
              <w:spacing w:before="60"/>
              <w:rPr>
                <w:rFonts w:asciiTheme="majorBidi" w:hAnsiTheme="majorBidi" w:cstheme="majorBidi"/>
                <w:sz w:val="19"/>
                <w:szCs w:val="19"/>
                <w:lang w:eastAsia="en-US"/>
              </w:rPr>
            </w:pPr>
            <w:r w:rsidRPr="00B51C7D">
              <w:rPr>
                <w:rFonts w:asciiTheme="majorBidi" w:hAnsiTheme="majorBidi" w:cstheme="majorBidi"/>
                <w:b/>
                <w:bCs/>
                <w:i/>
                <w:iCs/>
                <w:sz w:val="19"/>
                <w:szCs w:val="19"/>
              </w:rPr>
              <w:t>Senior Financial Analyst</w:t>
            </w:r>
            <w:r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, Community Council of Greater Dallas, Dallas, TX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24B872D" w14:textId="77777777" w:rsidR="00B22CA0" w:rsidRPr="00B51C7D" w:rsidRDefault="00B22CA0">
            <w:pPr>
              <w:spacing w:before="60"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Jan 2020 – Jul 2022</w:t>
            </w:r>
          </w:p>
        </w:tc>
      </w:tr>
    </w:tbl>
    <w:p w14:paraId="750BDA9E" w14:textId="2DB5DEFF" w:rsidR="00747D7D" w:rsidRPr="00B51C7D" w:rsidRDefault="00CA399F" w:rsidP="00CA5029">
      <w:pPr>
        <w:spacing w:before="20" w:after="40"/>
        <w:rPr>
          <w:rFonts w:asciiTheme="majorBidi" w:hAnsiTheme="majorBidi" w:cstheme="majorBidi"/>
          <w:szCs w:val="18"/>
        </w:rPr>
      </w:pPr>
      <w:r w:rsidRPr="00B51C7D">
        <w:rPr>
          <w:rFonts w:asciiTheme="majorBidi" w:hAnsiTheme="majorBidi" w:cstheme="majorBidi"/>
          <w:color w:val="505050"/>
        </w:rPr>
        <w:t>Drove</w:t>
      </w:r>
      <w:r w:rsidR="00747D7D" w:rsidRPr="00B51C7D">
        <w:rPr>
          <w:rFonts w:asciiTheme="majorBidi" w:hAnsiTheme="majorBidi" w:cstheme="majorBidi"/>
          <w:color w:val="505050"/>
          <w:szCs w:val="18"/>
        </w:rPr>
        <w:t xml:space="preserve"> forecasting, audit readiness, and </w:t>
      </w:r>
      <w:r w:rsidRPr="00B51C7D">
        <w:rPr>
          <w:rFonts w:asciiTheme="majorBidi" w:hAnsiTheme="majorBidi" w:cstheme="majorBidi"/>
          <w:color w:val="505050"/>
        </w:rPr>
        <w:t>leadership</w:t>
      </w:r>
      <w:r w:rsidR="00747D7D" w:rsidRPr="00B51C7D">
        <w:rPr>
          <w:rFonts w:asciiTheme="majorBidi" w:hAnsiTheme="majorBidi" w:cstheme="majorBidi"/>
          <w:color w:val="505050"/>
          <w:szCs w:val="18"/>
        </w:rPr>
        <w:t xml:space="preserve"> reporting for a rapidly expanding multi-award portfolio and partner network.</w:t>
      </w:r>
    </w:p>
    <w:p w14:paraId="48272700" w14:textId="77777777" w:rsidR="008C4C45" w:rsidRPr="00B51C7D" w:rsidRDefault="008C4C45" w:rsidP="00CA5029">
      <w:pPr>
        <w:pStyle w:val="ListBullet"/>
        <w:rPr>
          <w:rFonts w:asciiTheme="majorBidi" w:hAnsiTheme="majorBidi" w:cstheme="majorBidi"/>
          <w:lang w:eastAsia="en-US"/>
        </w:rPr>
      </w:pPr>
      <w:r w:rsidRPr="00B51C7D">
        <w:rPr>
          <w:rFonts w:asciiTheme="majorBidi" w:hAnsiTheme="majorBidi" w:cstheme="majorBidi"/>
        </w:rPr>
        <w:t>Built the financial analysis and funding-growth strategy that helped secure $20M+ in grant revenue, scale the partner network to 30+ NGOs, and sustain compliance across 50+ active awards.</w:t>
      </w:r>
    </w:p>
    <w:p w14:paraId="7F3F2316" w14:textId="77777777" w:rsidR="006822E6" w:rsidRPr="00B51C7D" w:rsidRDefault="00B71F42">
      <w:pPr>
        <w:pStyle w:val="ListBullet"/>
        <w:rPr>
          <w:rFonts w:asciiTheme="majorBidi" w:hAnsiTheme="majorBidi" w:cstheme="majorBidi"/>
          <w:szCs w:val="17"/>
        </w:rPr>
      </w:pPr>
      <w:r w:rsidRPr="00B51C7D">
        <w:rPr>
          <w:rFonts w:asciiTheme="majorBidi" w:hAnsiTheme="majorBidi" w:cstheme="majorBidi"/>
          <w:szCs w:val="17"/>
        </w:rPr>
        <w:t>Rebuilt internal-control documentation and instituted structured pre-audit review cycles, reducing audit discrepancies 75%.</w:t>
      </w:r>
    </w:p>
    <w:p w14:paraId="4BCC0EB8" w14:textId="584FA8A8" w:rsidR="00747D7D" w:rsidRPr="00B51C7D" w:rsidRDefault="0087633E" w:rsidP="0087633E">
      <w:pPr>
        <w:pStyle w:val="ListBullet"/>
        <w:rPr>
          <w:rFonts w:asciiTheme="majorBidi" w:hAnsiTheme="majorBidi" w:cstheme="majorBidi"/>
          <w:sz w:val="18"/>
          <w:szCs w:val="18"/>
        </w:rPr>
      </w:pPr>
      <w:r w:rsidRPr="00B51C7D">
        <w:rPr>
          <w:rFonts w:asciiTheme="majorBidi" w:hAnsiTheme="majorBidi" w:cstheme="majorBidi"/>
        </w:rPr>
        <w:t>Delivered forecasts and performance analyses to the CFO and Board of Directors, informing strategic planning and resource allocation.</w:t>
      </w:r>
    </w:p>
    <w:tbl>
      <w:tblPr>
        <w:tblStyle w:val="TableGrid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80"/>
        <w:gridCol w:w="2400"/>
      </w:tblGrid>
      <w:tr w:rsidR="00B22CA0" w:rsidRPr="00B51C7D" w14:paraId="2C8C20E3" w14:textId="77777777"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3069315" w14:textId="77777777" w:rsidR="00B22CA0" w:rsidRPr="00B51C7D" w:rsidRDefault="00B22CA0">
            <w:pPr>
              <w:spacing w:before="60"/>
              <w:rPr>
                <w:rFonts w:asciiTheme="majorBidi" w:hAnsiTheme="majorBidi" w:cstheme="majorBidi"/>
                <w:sz w:val="19"/>
                <w:szCs w:val="19"/>
                <w:lang w:eastAsia="en-US"/>
              </w:rPr>
            </w:pPr>
            <w:r w:rsidRPr="00B51C7D">
              <w:rPr>
                <w:rFonts w:asciiTheme="majorBidi" w:hAnsiTheme="majorBidi" w:cstheme="majorBidi"/>
                <w:b/>
                <w:bCs/>
                <w:i/>
                <w:iCs/>
                <w:sz w:val="19"/>
                <w:szCs w:val="19"/>
              </w:rPr>
              <w:t>Audit In-Charge</w:t>
            </w:r>
            <w:r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, Deloitte, Dallas, TX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E458856" w14:textId="77777777" w:rsidR="00B22CA0" w:rsidRPr="00B51C7D" w:rsidRDefault="00B22CA0">
            <w:pPr>
              <w:spacing w:before="60"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Aug 2018 – Dec 2019</w:t>
            </w:r>
          </w:p>
        </w:tc>
      </w:tr>
    </w:tbl>
    <w:p w14:paraId="59A5F4F2" w14:textId="069EC744" w:rsidR="00747D7D" w:rsidRPr="00B51C7D" w:rsidRDefault="00747D7D" w:rsidP="00AF0576">
      <w:pPr>
        <w:spacing w:before="20" w:after="40"/>
        <w:rPr>
          <w:rFonts w:asciiTheme="majorBidi" w:hAnsiTheme="majorBidi" w:cstheme="majorBidi"/>
          <w:iCs/>
          <w:szCs w:val="18"/>
        </w:rPr>
      </w:pPr>
      <w:r w:rsidRPr="00B51C7D">
        <w:rPr>
          <w:rFonts w:asciiTheme="majorBidi" w:hAnsiTheme="majorBidi" w:cstheme="majorBidi"/>
          <w:iCs/>
          <w:color w:val="505050"/>
          <w:szCs w:val="18"/>
        </w:rPr>
        <w:t>Led audit engagements for public and private company clients.</w:t>
      </w:r>
    </w:p>
    <w:p w14:paraId="6996CE09" w14:textId="555FC708" w:rsidR="00747D7D" w:rsidRPr="00B51C7D" w:rsidRDefault="005E78B2" w:rsidP="005E78B2">
      <w:pPr>
        <w:pStyle w:val="ListBullet"/>
        <w:rPr>
          <w:rFonts w:asciiTheme="majorBidi" w:hAnsiTheme="majorBidi" w:cstheme="majorBidi"/>
        </w:rPr>
      </w:pPr>
      <w:r w:rsidRPr="00B51C7D">
        <w:rPr>
          <w:rFonts w:asciiTheme="majorBidi" w:hAnsiTheme="majorBidi" w:cstheme="majorBidi"/>
        </w:rPr>
        <w:t>Ran multiple engagements from planning through reporting as primary client contact, directing engagement teams and keeping deliverables on schedule.</w:t>
      </w:r>
    </w:p>
    <w:p w14:paraId="03FF76FC" w14:textId="40405CFC" w:rsidR="00747D7D" w:rsidRPr="00B51C7D" w:rsidRDefault="00747D7D" w:rsidP="000E01CD">
      <w:pPr>
        <w:pStyle w:val="ListBullet"/>
        <w:rPr>
          <w:rFonts w:asciiTheme="majorBidi" w:hAnsiTheme="majorBidi" w:cstheme="majorBidi"/>
        </w:rPr>
      </w:pPr>
      <w:r w:rsidRPr="00B51C7D">
        <w:rPr>
          <w:rFonts w:asciiTheme="majorBidi" w:hAnsiTheme="majorBidi" w:cstheme="majorBidi"/>
        </w:rPr>
        <w:t>Evaluated internal controls, financial-reporting risks, and non-routine transactions, translating findings into actionable recommendations for client leadership.</w:t>
      </w:r>
    </w:p>
    <w:tbl>
      <w:tblPr>
        <w:tblStyle w:val="TableGrid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80"/>
        <w:gridCol w:w="2400"/>
      </w:tblGrid>
      <w:tr w:rsidR="00B22CA0" w:rsidRPr="00B51C7D" w14:paraId="1C4532DD" w14:textId="77777777"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22F0326" w14:textId="77777777" w:rsidR="00B22CA0" w:rsidRPr="00B51C7D" w:rsidRDefault="00B22CA0">
            <w:pPr>
              <w:spacing w:before="60"/>
              <w:rPr>
                <w:rFonts w:asciiTheme="majorBidi" w:hAnsiTheme="majorBidi" w:cstheme="majorBidi"/>
                <w:sz w:val="19"/>
                <w:szCs w:val="19"/>
                <w:lang w:eastAsia="en-US"/>
              </w:rPr>
            </w:pPr>
            <w:r w:rsidRPr="00B51C7D">
              <w:rPr>
                <w:rFonts w:asciiTheme="majorBidi" w:hAnsiTheme="majorBidi" w:cstheme="majorBidi"/>
                <w:b/>
                <w:bCs/>
                <w:i/>
                <w:iCs/>
                <w:sz w:val="19"/>
                <w:szCs w:val="19"/>
              </w:rPr>
              <w:t>Audit Staff</w:t>
            </w:r>
            <w:r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, Deloitte, Dallas, TX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098AD83" w14:textId="77777777" w:rsidR="00B22CA0" w:rsidRPr="00B51C7D" w:rsidRDefault="00B22CA0">
            <w:pPr>
              <w:spacing w:before="60"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B51C7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Sep 2016 – Aug 2018</w:t>
            </w:r>
          </w:p>
        </w:tc>
      </w:tr>
    </w:tbl>
    <w:p w14:paraId="685C6BF2" w14:textId="77777777" w:rsidR="00D30BCD" w:rsidRPr="00B51C7D" w:rsidRDefault="00D30BCD">
      <w:pPr>
        <w:spacing w:before="20" w:after="40"/>
        <w:rPr>
          <w:rFonts w:asciiTheme="majorBidi" w:hAnsiTheme="majorBidi" w:cstheme="majorBidi"/>
          <w:szCs w:val="18"/>
          <w:lang w:eastAsia="en-US"/>
        </w:rPr>
      </w:pPr>
      <w:r w:rsidRPr="00B51C7D">
        <w:rPr>
          <w:rFonts w:asciiTheme="majorBidi" w:hAnsiTheme="majorBidi" w:cstheme="majorBidi"/>
          <w:color w:val="505050"/>
          <w:szCs w:val="18"/>
        </w:rPr>
        <w:t>Executed financial-statement audits for public and private clients, performing risk assessments and internal-control testing across key financial-statement areas.</w:t>
      </w:r>
    </w:p>
    <w:p w14:paraId="0962F1A9" w14:textId="77777777" w:rsidR="006822E6" w:rsidRPr="00B51C7D" w:rsidRDefault="00B71F42">
      <w:pPr>
        <w:pStyle w:val="Heading1"/>
        <w:pBdr>
          <w:bottom w:val="single" w:sz="8" w:space="1" w:color="1F374E"/>
        </w:pBdr>
        <w:rPr>
          <w:rFonts w:asciiTheme="majorBidi" w:hAnsiTheme="majorBidi"/>
          <w:sz w:val="19"/>
          <w:szCs w:val="19"/>
        </w:rPr>
      </w:pPr>
      <w:r w:rsidRPr="00B51C7D">
        <w:rPr>
          <w:rFonts w:asciiTheme="majorBidi" w:hAnsiTheme="majorBidi"/>
          <w:sz w:val="19"/>
          <w:szCs w:val="19"/>
        </w:rPr>
        <w:t>EDUCATION</w:t>
      </w:r>
    </w:p>
    <w:p w14:paraId="33DD87A8" w14:textId="77777777" w:rsidR="006822E6" w:rsidRPr="00B51C7D" w:rsidRDefault="00B71F42" w:rsidP="004772CE">
      <w:pPr>
        <w:spacing w:after="0"/>
        <w:rPr>
          <w:rFonts w:asciiTheme="majorBidi" w:hAnsiTheme="majorBidi" w:cstheme="majorBidi"/>
          <w:sz w:val="19"/>
          <w:szCs w:val="19"/>
        </w:rPr>
      </w:pPr>
      <w:r w:rsidRPr="00B51C7D">
        <w:rPr>
          <w:rFonts w:asciiTheme="majorBidi" w:hAnsiTheme="majorBidi" w:cstheme="majorBidi"/>
          <w:b/>
          <w:sz w:val="19"/>
          <w:szCs w:val="19"/>
        </w:rPr>
        <w:t xml:space="preserve">The University of Texas at </w:t>
      </w:r>
      <w:proofErr w:type="gramStart"/>
      <w:r w:rsidRPr="00B51C7D">
        <w:rPr>
          <w:rFonts w:asciiTheme="majorBidi" w:hAnsiTheme="majorBidi" w:cstheme="majorBidi"/>
          <w:b/>
          <w:sz w:val="19"/>
          <w:szCs w:val="19"/>
        </w:rPr>
        <w:t>Dallas</w:t>
      </w:r>
      <w:r w:rsidRPr="00B51C7D">
        <w:rPr>
          <w:rFonts w:asciiTheme="majorBidi" w:hAnsiTheme="majorBidi" w:cstheme="majorBidi"/>
          <w:sz w:val="19"/>
          <w:szCs w:val="19"/>
        </w:rPr>
        <w:t xml:space="preserve">  —</w:t>
      </w:r>
      <w:proofErr w:type="gramEnd"/>
      <w:r w:rsidRPr="00B51C7D">
        <w:rPr>
          <w:rFonts w:asciiTheme="majorBidi" w:hAnsiTheme="majorBidi" w:cstheme="majorBidi"/>
          <w:sz w:val="19"/>
          <w:szCs w:val="19"/>
        </w:rPr>
        <w:t xml:space="preserve">  Richardson, </w:t>
      </w:r>
      <w:proofErr w:type="gramStart"/>
      <w:r w:rsidRPr="00B51C7D">
        <w:rPr>
          <w:rFonts w:asciiTheme="majorBidi" w:hAnsiTheme="majorBidi" w:cstheme="majorBidi"/>
          <w:sz w:val="19"/>
          <w:szCs w:val="19"/>
        </w:rPr>
        <w:t>TX  |</w:t>
      </w:r>
      <w:proofErr w:type="gramEnd"/>
      <w:r w:rsidRPr="00B51C7D">
        <w:rPr>
          <w:rFonts w:asciiTheme="majorBidi" w:hAnsiTheme="majorBidi" w:cstheme="majorBidi"/>
          <w:sz w:val="19"/>
          <w:szCs w:val="19"/>
        </w:rPr>
        <w:t xml:space="preserve">  MS </w:t>
      </w:r>
      <w:proofErr w:type="gramStart"/>
      <w:r w:rsidRPr="00B51C7D">
        <w:rPr>
          <w:rFonts w:asciiTheme="majorBidi" w:hAnsiTheme="majorBidi" w:cstheme="majorBidi"/>
          <w:sz w:val="19"/>
          <w:szCs w:val="19"/>
        </w:rPr>
        <w:t>Accounting  •</w:t>
      </w:r>
      <w:proofErr w:type="gramEnd"/>
      <w:r w:rsidRPr="00B51C7D">
        <w:rPr>
          <w:rFonts w:asciiTheme="majorBidi" w:hAnsiTheme="majorBidi" w:cstheme="majorBidi"/>
          <w:sz w:val="19"/>
          <w:szCs w:val="19"/>
        </w:rPr>
        <w:t xml:space="preserve">  BS Global </w:t>
      </w:r>
      <w:proofErr w:type="gramStart"/>
      <w:r w:rsidRPr="00B51C7D">
        <w:rPr>
          <w:rFonts w:asciiTheme="majorBidi" w:hAnsiTheme="majorBidi" w:cstheme="majorBidi"/>
          <w:sz w:val="19"/>
          <w:szCs w:val="19"/>
        </w:rPr>
        <w:t>Business  •</w:t>
      </w:r>
      <w:proofErr w:type="gramEnd"/>
      <w:r w:rsidRPr="00B51C7D">
        <w:rPr>
          <w:rFonts w:asciiTheme="majorBidi" w:hAnsiTheme="majorBidi" w:cstheme="majorBidi"/>
          <w:sz w:val="19"/>
          <w:szCs w:val="19"/>
        </w:rPr>
        <w:t xml:space="preserve">  BS Accounting</w:t>
      </w:r>
    </w:p>
    <w:p w14:paraId="52B9F7FB" w14:textId="75F77E11" w:rsidR="007D293C" w:rsidRPr="00B51C7D" w:rsidRDefault="007D293C" w:rsidP="007D293C">
      <w:pPr>
        <w:rPr>
          <w:rFonts w:asciiTheme="majorBidi" w:hAnsiTheme="majorBidi" w:cstheme="majorBidi"/>
          <w:sz w:val="2"/>
          <w:szCs w:val="2"/>
        </w:rPr>
      </w:pPr>
    </w:p>
    <w:sectPr w:rsidR="007D293C" w:rsidRPr="00B51C7D">
      <w:headerReference w:type="default" r:id="rId7"/>
      <w:footerReference w:type="default" r:id="rId8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2E127" w14:textId="77777777" w:rsidR="005014B8" w:rsidRDefault="005014B8" w:rsidP="002069D1">
      <w:pPr>
        <w:spacing w:after="0" w:line="240" w:lineRule="auto"/>
      </w:pPr>
      <w:r>
        <w:separator/>
      </w:r>
    </w:p>
  </w:endnote>
  <w:endnote w:type="continuationSeparator" w:id="0">
    <w:p w14:paraId="297D66F1" w14:textId="77777777" w:rsidR="005014B8" w:rsidRDefault="005014B8" w:rsidP="00206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8138E" w14:textId="0A054FA1" w:rsidR="4388DF0C" w:rsidRDefault="4388DF0C" w:rsidP="4388D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83EBC" w14:textId="77777777" w:rsidR="005014B8" w:rsidRDefault="005014B8" w:rsidP="002069D1">
      <w:pPr>
        <w:spacing w:after="0" w:line="240" w:lineRule="auto"/>
      </w:pPr>
      <w:r>
        <w:separator/>
      </w:r>
    </w:p>
  </w:footnote>
  <w:footnote w:type="continuationSeparator" w:id="0">
    <w:p w14:paraId="1E319D7A" w14:textId="77777777" w:rsidR="005014B8" w:rsidRDefault="005014B8" w:rsidP="00206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25"/>
      <w:gridCol w:w="3425"/>
      <w:gridCol w:w="3425"/>
    </w:tblGrid>
    <w:tr w:rsidR="4388DF0C" w14:paraId="1D3FDDAD" w14:textId="77777777" w:rsidTr="4388DF0C">
      <w:trPr>
        <w:trHeight w:val="300"/>
      </w:trPr>
      <w:tc>
        <w:tcPr>
          <w:tcW w:w="3425" w:type="dxa"/>
        </w:tcPr>
        <w:p w14:paraId="60A848C3" w14:textId="29C41367" w:rsidR="4388DF0C" w:rsidRDefault="4388DF0C" w:rsidP="4388DF0C">
          <w:pPr>
            <w:pStyle w:val="Header"/>
            <w:ind w:left="-115"/>
          </w:pPr>
        </w:p>
      </w:tc>
      <w:tc>
        <w:tcPr>
          <w:tcW w:w="3425" w:type="dxa"/>
        </w:tcPr>
        <w:p w14:paraId="549CC8FA" w14:textId="5CCC905D" w:rsidR="4388DF0C" w:rsidRDefault="4388DF0C" w:rsidP="4388DF0C">
          <w:pPr>
            <w:pStyle w:val="Header"/>
            <w:jc w:val="center"/>
          </w:pPr>
        </w:p>
      </w:tc>
      <w:tc>
        <w:tcPr>
          <w:tcW w:w="3425" w:type="dxa"/>
        </w:tcPr>
        <w:p w14:paraId="1B5707AC" w14:textId="61674E84" w:rsidR="4388DF0C" w:rsidRDefault="4388DF0C" w:rsidP="4388DF0C">
          <w:pPr>
            <w:pStyle w:val="Header"/>
            <w:ind w:right="-115"/>
            <w:jc w:val="right"/>
          </w:pPr>
        </w:p>
      </w:tc>
    </w:tr>
  </w:tbl>
  <w:p w14:paraId="151E1F2D" w14:textId="6004AEC5" w:rsidR="4388DF0C" w:rsidRDefault="4388DF0C" w:rsidP="4388DF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A129CB"/>
    <w:multiLevelType w:val="multilevel"/>
    <w:tmpl w:val="2A8A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09F824C5"/>
    <w:multiLevelType w:val="multilevel"/>
    <w:tmpl w:val="A664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936E6A"/>
    <w:multiLevelType w:val="multilevel"/>
    <w:tmpl w:val="2AD0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956306"/>
    <w:multiLevelType w:val="multilevel"/>
    <w:tmpl w:val="5C164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7C046A"/>
    <w:multiLevelType w:val="multilevel"/>
    <w:tmpl w:val="ED2A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65232B"/>
    <w:multiLevelType w:val="multilevel"/>
    <w:tmpl w:val="DF8E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736549"/>
    <w:multiLevelType w:val="multilevel"/>
    <w:tmpl w:val="CAACC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D50986"/>
    <w:multiLevelType w:val="multilevel"/>
    <w:tmpl w:val="0A74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307CF5"/>
    <w:multiLevelType w:val="multilevel"/>
    <w:tmpl w:val="5380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8B056E"/>
    <w:multiLevelType w:val="multilevel"/>
    <w:tmpl w:val="DB2A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82FFA"/>
    <w:multiLevelType w:val="multilevel"/>
    <w:tmpl w:val="86C6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7777CA"/>
    <w:multiLevelType w:val="multilevel"/>
    <w:tmpl w:val="C03C6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BB223B"/>
    <w:multiLevelType w:val="multilevel"/>
    <w:tmpl w:val="BF32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3B7F1D"/>
    <w:multiLevelType w:val="multilevel"/>
    <w:tmpl w:val="84D0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7" w15:restartNumberingAfterBreak="0">
    <w:nsid w:val="62E36D4B"/>
    <w:multiLevelType w:val="multilevel"/>
    <w:tmpl w:val="6E6E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1762F6"/>
    <w:multiLevelType w:val="multilevel"/>
    <w:tmpl w:val="6818E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6E6311BA"/>
    <w:multiLevelType w:val="multilevel"/>
    <w:tmpl w:val="8E82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1"/>
  </w:num>
  <w:num w:numId="12" w16cid:durableId="1273904881">
    <w:abstractNumId w:val="30"/>
  </w:num>
  <w:num w:numId="13" w16cid:durableId="2110588750">
    <w:abstractNumId w:val="29"/>
  </w:num>
  <w:num w:numId="14" w16cid:durableId="1730575300">
    <w:abstractNumId w:val="26"/>
  </w:num>
  <w:num w:numId="15" w16cid:durableId="2063938215">
    <w:abstractNumId w:val="32"/>
  </w:num>
  <w:num w:numId="16" w16cid:durableId="1416627709">
    <w:abstractNumId w:val="21"/>
  </w:num>
  <w:num w:numId="17" w16cid:durableId="1039235717">
    <w:abstractNumId w:val="25"/>
  </w:num>
  <w:num w:numId="18" w16cid:durableId="245572985">
    <w:abstractNumId w:val="22"/>
  </w:num>
  <w:num w:numId="19" w16cid:durableId="1799252763">
    <w:abstractNumId w:val="10"/>
  </w:num>
  <w:num w:numId="20" w16cid:durableId="1775712857">
    <w:abstractNumId w:val="13"/>
  </w:num>
  <w:num w:numId="21" w16cid:durableId="935091136">
    <w:abstractNumId w:val="31"/>
  </w:num>
  <w:num w:numId="22" w16cid:durableId="388650949">
    <w:abstractNumId w:val="15"/>
  </w:num>
  <w:num w:numId="23" w16cid:durableId="1169175633">
    <w:abstractNumId w:val="27"/>
  </w:num>
  <w:num w:numId="24" w16cid:durableId="1343817336">
    <w:abstractNumId w:val="28"/>
  </w:num>
  <w:num w:numId="25" w16cid:durableId="134641683">
    <w:abstractNumId w:val="18"/>
  </w:num>
  <w:num w:numId="26" w16cid:durableId="1930776655">
    <w:abstractNumId w:val="24"/>
  </w:num>
  <w:num w:numId="27" w16cid:durableId="829827600">
    <w:abstractNumId w:val="19"/>
  </w:num>
  <w:num w:numId="28" w16cid:durableId="837766227">
    <w:abstractNumId w:val="16"/>
  </w:num>
  <w:num w:numId="29" w16cid:durableId="873887322">
    <w:abstractNumId w:val="12"/>
  </w:num>
  <w:num w:numId="30" w16cid:durableId="355010571">
    <w:abstractNumId w:val="23"/>
  </w:num>
  <w:num w:numId="31" w16cid:durableId="1683894589">
    <w:abstractNumId w:val="20"/>
  </w:num>
  <w:num w:numId="32" w16cid:durableId="117257530">
    <w:abstractNumId w:val="17"/>
  </w:num>
  <w:num w:numId="33" w16cid:durableId="18688350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4467B"/>
    <w:rsid w:val="0004485F"/>
    <w:rsid w:val="000B0BC0"/>
    <w:rsid w:val="000E01CD"/>
    <w:rsid w:val="001372DF"/>
    <w:rsid w:val="001E2DC3"/>
    <w:rsid w:val="001E7337"/>
    <w:rsid w:val="001F40EA"/>
    <w:rsid w:val="002069D1"/>
    <w:rsid w:val="00241C22"/>
    <w:rsid w:val="002807E9"/>
    <w:rsid w:val="002E51AB"/>
    <w:rsid w:val="002F2BE6"/>
    <w:rsid w:val="00324B44"/>
    <w:rsid w:val="0036562D"/>
    <w:rsid w:val="0037106C"/>
    <w:rsid w:val="0038509E"/>
    <w:rsid w:val="003917CE"/>
    <w:rsid w:val="003F4367"/>
    <w:rsid w:val="004772CE"/>
    <w:rsid w:val="004976E0"/>
    <w:rsid w:val="005014B8"/>
    <w:rsid w:val="005708EC"/>
    <w:rsid w:val="005A534A"/>
    <w:rsid w:val="005D08DC"/>
    <w:rsid w:val="005E78B2"/>
    <w:rsid w:val="0065392A"/>
    <w:rsid w:val="006543B7"/>
    <w:rsid w:val="00674783"/>
    <w:rsid w:val="0067535C"/>
    <w:rsid w:val="006822E6"/>
    <w:rsid w:val="00690E0B"/>
    <w:rsid w:val="006B4B7F"/>
    <w:rsid w:val="006C472B"/>
    <w:rsid w:val="00726B43"/>
    <w:rsid w:val="00747D7D"/>
    <w:rsid w:val="007A49E0"/>
    <w:rsid w:val="007D293C"/>
    <w:rsid w:val="008058BC"/>
    <w:rsid w:val="00827C87"/>
    <w:rsid w:val="0087633E"/>
    <w:rsid w:val="008C4C45"/>
    <w:rsid w:val="00916491"/>
    <w:rsid w:val="0094382C"/>
    <w:rsid w:val="009F50CA"/>
    <w:rsid w:val="00A02BFD"/>
    <w:rsid w:val="00A20880"/>
    <w:rsid w:val="00A3300F"/>
    <w:rsid w:val="00A352C8"/>
    <w:rsid w:val="00A4082E"/>
    <w:rsid w:val="00A56EA2"/>
    <w:rsid w:val="00A769D2"/>
    <w:rsid w:val="00A94CAE"/>
    <w:rsid w:val="00AF0576"/>
    <w:rsid w:val="00B062B0"/>
    <w:rsid w:val="00B22CA0"/>
    <w:rsid w:val="00B41C2B"/>
    <w:rsid w:val="00B51C7D"/>
    <w:rsid w:val="00B71F42"/>
    <w:rsid w:val="00BD6A5F"/>
    <w:rsid w:val="00C26D93"/>
    <w:rsid w:val="00C27141"/>
    <w:rsid w:val="00C73625"/>
    <w:rsid w:val="00CA399F"/>
    <w:rsid w:val="00CA5029"/>
    <w:rsid w:val="00D06860"/>
    <w:rsid w:val="00D2675D"/>
    <w:rsid w:val="00D30BCD"/>
    <w:rsid w:val="00D32292"/>
    <w:rsid w:val="00D62C58"/>
    <w:rsid w:val="00D75435"/>
    <w:rsid w:val="00D86047"/>
    <w:rsid w:val="00D95D6B"/>
    <w:rsid w:val="00DA6C12"/>
    <w:rsid w:val="00DE5146"/>
    <w:rsid w:val="00DF2FBF"/>
    <w:rsid w:val="00E575AF"/>
    <w:rsid w:val="00E61736"/>
    <w:rsid w:val="00E7566B"/>
    <w:rsid w:val="00EA4616"/>
    <w:rsid w:val="00EE5921"/>
    <w:rsid w:val="00F05756"/>
    <w:rsid w:val="00F41157"/>
    <w:rsid w:val="00F41C11"/>
    <w:rsid w:val="00F5193F"/>
    <w:rsid w:val="00F66825"/>
    <w:rsid w:val="00FB3270"/>
    <w:rsid w:val="0AA02B34"/>
    <w:rsid w:val="145DDC06"/>
    <w:rsid w:val="1AE30756"/>
    <w:rsid w:val="1F8D6634"/>
    <w:rsid w:val="207C96FC"/>
    <w:rsid w:val="301077A3"/>
    <w:rsid w:val="30A8A375"/>
    <w:rsid w:val="341139C7"/>
    <w:rsid w:val="370F4FAD"/>
    <w:rsid w:val="38EC10AE"/>
    <w:rsid w:val="3E106578"/>
    <w:rsid w:val="42F51039"/>
    <w:rsid w:val="4388DF0C"/>
    <w:rsid w:val="4C9D2FD7"/>
    <w:rsid w:val="4DC79EA7"/>
    <w:rsid w:val="5DEBE129"/>
    <w:rsid w:val="5DFB7281"/>
    <w:rsid w:val="6407A84A"/>
    <w:rsid w:val="6C8F65A7"/>
    <w:rsid w:val="743DBABA"/>
    <w:rsid w:val="774C1B7E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04FD8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color w:val="1F374E"/>
      <w:sz w:val="2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40" w:line="240" w:lineRule="auto"/>
      <w:contextualSpacing/>
    </w:pPr>
    <w:rPr>
      <w:rFonts w:asciiTheme="majorHAnsi" w:eastAsiaTheme="majorEastAsia" w:hAnsiTheme="majorHAnsi" w:cstheme="majorBidi"/>
      <w:b/>
      <w:color w:val="1F374E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spacing w:after="36" w:line="240" w:lineRule="auto"/>
      <w:ind w:left="259" w:hanging="173"/>
      <w:contextualSpacing/>
    </w:pPr>
    <w:rPr>
      <w:sz w:val="17"/>
    </w:r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BookTitle">
    <w:name w:val="Book Title"/>
    <w:basedOn w:val="DefaultParagraphFont"/>
    <w:uiPriority w:val="33"/>
    <w:qFormat/>
    <w:rsid w:val="00B22CA0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B22CA0"/>
    <w:rPr>
      <w:i/>
      <w:iCs/>
    </w:rPr>
  </w:style>
  <w:style w:type="character" w:styleId="Strong">
    <w:name w:val="Strong"/>
    <w:basedOn w:val="DefaultParagraphFont"/>
    <w:uiPriority w:val="22"/>
    <w:qFormat/>
    <w:rsid w:val="00B22CA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22CA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22CA0"/>
    <w:rPr>
      <w:smallCaps/>
      <w:color w:val="5A5A5A" w:themeColor="text1" w:themeTint="A5"/>
    </w:rPr>
  </w:style>
  <w:style w:type="paragraph" w:styleId="Revision">
    <w:name w:val="Revision"/>
    <w:hidden/>
    <w:uiPriority w:val="99"/>
    <w:semiHidden/>
    <w:rsid w:val="002807E9"/>
    <w:pPr>
      <w:spacing w:after="0" w:line="240" w:lineRule="auto"/>
    </w:pPr>
    <w:rPr>
      <w:rFonts w:ascii="Arial" w:eastAsia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624</Words>
  <Characters>4319</Characters>
  <Application>Microsoft Office Word</Application>
  <DocSecurity>0</DocSecurity>
  <Lines>59</Lines>
  <Paragraphs>43</Paragraphs>
  <ScaleCrop>false</ScaleCrop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Shahrzad Azimi Resume — Strategic Operations</dc:title>
  <dc:subject>Strategic operations and business-focused resume</dc:subject>
  <dc:creator>Shahrzad Azimi</dc:creator>
  <cp:keywords/>
  <dc:description/>
  <cp:lastModifiedBy>Shahrzad Azimi</cp:lastModifiedBy>
  <cp:revision>2</cp:revision>
  <cp:lastPrinted>2026-10-12T14:36:00Z</cp:lastPrinted>
  <dcterms:created xsi:type="dcterms:W3CDTF">2026-10-12T14:36:00Z</dcterms:created>
  <dcterms:modified xsi:type="dcterms:W3CDTF">2026-10-12T14:36:00Z</dcterms:modified>
</cp:coreProperties>
</file>